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9126" w14:textId="729D886D" w:rsidR="006E13A6" w:rsidRPr="006E13A6" w:rsidRDefault="006E13A6" w:rsidP="006E13A6">
      <w:pPr>
        <w:spacing w:after="120" w:line="240" w:lineRule="auto"/>
        <w:rPr>
          <w:rFonts w:ascii="Helvetica" w:eastAsia="Times New Roman" w:hAnsi="Helvetica" w:cs="Helvetica"/>
          <w:b/>
          <w:bCs/>
          <w:color w:val="981B1E"/>
          <w:kern w:val="0"/>
          <w:sz w:val="20"/>
          <w:szCs w:val="20"/>
          <w14:ligatures w14:val="none"/>
        </w:rPr>
      </w:pPr>
      <w:r w:rsidRPr="006E13A6">
        <w:rPr>
          <w:rFonts w:ascii="Helvetica" w:eastAsia="Times New Roman" w:hAnsi="Helvetica" w:cs="Helvetica"/>
          <w:b/>
          <w:bCs/>
          <w:color w:val="981B1E"/>
          <w:kern w:val="0"/>
          <w:sz w:val="20"/>
          <w:szCs w:val="20"/>
          <w14:ligatures w14:val="none"/>
        </w:rPr>
        <w:t>https://jamanetwork.com/journals/jamaneurology/article-abstract/2624330?redirect=true</w:t>
      </w:r>
    </w:p>
    <w:p w14:paraId="630536AE" w14:textId="492A28D7" w:rsidR="006E13A6" w:rsidRPr="00953B5E" w:rsidRDefault="006E13A6" w:rsidP="006E13A6">
      <w:pPr>
        <w:spacing w:after="120" w:line="240" w:lineRule="auto"/>
        <w:rPr>
          <w:rFonts w:ascii="Helvetica" w:eastAsia="Times New Roman" w:hAnsi="Helvetica" w:cs="Helvetica"/>
          <w:color w:val="981B1E"/>
          <w:kern w:val="0"/>
          <w:sz w:val="24"/>
          <w:szCs w:val="24"/>
          <w14:ligatures w14:val="none"/>
        </w:rPr>
      </w:pPr>
      <w:r w:rsidRPr="00953B5E">
        <w:rPr>
          <w:rFonts w:ascii="Helvetica" w:eastAsia="Times New Roman" w:hAnsi="Helvetica" w:cs="Helvetica"/>
          <w:color w:val="981B1E"/>
          <w:kern w:val="0"/>
          <w:sz w:val="24"/>
          <w:szCs w:val="24"/>
          <w14:ligatures w14:val="none"/>
        </w:rPr>
        <w:t>“Daughters are 28% more likely to care for ag</w:t>
      </w:r>
      <w:r w:rsidR="00953B5E" w:rsidRPr="00953B5E">
        <w:rPr>
          <w:rFonts w:ascii="Helvetica" w:eastAsia="Times New Roman" w:hAnsi="Helvetica" w:cs="Helvetica"/>
          <w:color w:val="981B1E"/>
          <w:kern w:val="0"/>
          <w:sz w:val="24"/>
          <w:szCs w:val="24"/>
          <w14:ligatures w14:val="none"/>
        </w:rPr>
        <w:t>ing</w:t>
      </w:r>
      <w:r w:rsidRPr="00953B5E">
        <w:rPr>
          <w:rFonts w:ascii="Helvetica" w:eastAsia="Times New Roman" w:hAnsi="Helvetica" w:cs="Helvetica"/>
          <w:color w:val="981B1E"/>
          <w:kern w:val="0"/>
          <w:sz w:val="24"/>
          <w:szCs w:val="24"/>
          <w14:ligatures w14:val="none"/>
        </w:rPr>
        <w:t xml:space="preserve"> parents than sons.”</w:t>
      </w:r>
    </w:p>
    <w:p w14:paraId="2790D6C0" w14:textId="77777777" w:rsidR="006E13A6" w:rsidRDefault="006E13A6" w:rsidP="006E13A6">
      <w:pPr>
        <w:spacing w:before="48" w:after="84" w:line="240" w:lineRule="auto"/>
        <w:outlineLvl w:val="0"/>
        <w:rPr>
          <w:rFonts w:ascii="Helvetica" w:eastAsia="Times New Roman" w:hAnsi="Helvetica" w:cs="Helvetica"/>
          <w:color w:val="333333"/>
          <w:kern w:val="36"/>
          <w:sz w:val="24"/>
          <w:szCs w:val="24"/>
          <w14:ligatures w14:val="none"/>
        </w:rPr>
      </w:pPr>
      <w:r w:rsidRPr="00953B5E">
        <w:rPr>
          <w:rFonts w:ascii="Helvetica" w:eastAsia="Times New Roman" w:hAnsi="Helvetica" w:cs="Helvetica"/>
          <w:b/>
          <w:bCs/>
          <w:color w:val="333333"/>
          <w:kern w:val="36"/>
          <w:sz w:val="24"/>
          <w:szCs w:val="24"/>
          <w14:ligatures w14:val="none"/>
        </w:rPr>
        <w:t xml:space="preserve">Dementia Care, Women's Health, and Gender </w:t>
      </w:r>
      <w:proofErr w:type="spellStart"/>
      <w:r w:rsidRPr="00953B5E">
        <w:rPr>
          <w:rFonts w:ascii="Helvetica" w:eastAsia="Times New Roman" w:hAnsi="Helvetica" w:cs="Helvetica"/>
          <w:b/>
          <w:bCs/>
          <w:color w:val="333333"/>
          <w:kern w:val="36"/>
          <w:sz w:val="24"/>
          <w:szCs w:val="24"/>
          <w14:ligatures w14:val="none"/>
        </w:rPr>
        <w:t>Equity</w:t>
      </w:r>
      <w:r w:rsidRPr="00953B5E">
        <w:rPr>
          <w:rFonts w:ascii="Helvetica" w:eastAsia="Times New Roman" w:hAnsi="Helvetica" w:cs="Helvetica"/>
          <w:color w:val="333333"/>
          <w:kern w:val="36"/>
          <w:sz w:val="24"/>
          <w:szCs w:val="24"/>
          <w14:ligatures w14:val="none"/>
        </w:rPr>
        <w:t>The</w:t>
      </w:r>
      <w:proofErr w:type="spellEnd"/>
      <w:r w:rsidRPr="00953B5E">
        <w:rPr>
          <w:rFonts w:ascii="Helvetica" w:eastAsia="Times New Roman" w:hAnsi="Helvetica" w:cs="Helvetica"/>
          <w:color w:val="333333"/>
          <w:kern w:val="36"/>
          <w:sz w:val="24"/>
          <w:szCs w:val="24"/>
          <w14:ligatures w14:val="none"/>
        </w:rPr>
        <w:t xml:space="preserve"> Value of Well-Timed Caregiver Support</w:t>
      </w:r>
    </w:p>
    <w:p w14:paraId="7A8B42D6" w14:textId="77777777" w:rsidR="006E13A6" w:rsidRPr="006E13A6" w:rsidRDefault="002A19DA" w:rsidP="006E13A6">
      <w:pPr>
        <w:spacing w:line="240" w:lineRule="auto"/>
        <w:rPr>
          <w:rFonts w:ascii="Helvetica" w:eastAsia="Times New Roman" w:hAnsi="Helvetica" w:cs="Helvetica"/>
          <w:color w:val="333333"/>
          <w:kern w:val="0"/>
          <w:sz w:val="21"/>
          <w:szCs w:val="21"/>
          <w14:ligatures w14:val="none"/>
        </w:rPr>
      </w:pPr>
      <w:hyperlink r:id="rId5" w:tgtFrame="_blank" w:history="1">
        <w:r w:rsidR="006E13A6" w:rsidRPr="006E13A6">
          <w:rPr>
            <w:rFonts w:ascii="Helvetica" w:eastAsia="Times New Roman" w:hAnsi="Helvetica" w:cs="Helvetica"/>
            <w:color w:val="444444"/>
            <w:kern w:val="0"/>
            <w:sz w:val="21"/>
            <w:szCs w:val="21"/>
            <w:u w:val="single"/>
            <w14:ligatures w14:val="none"/>
          </w:rPr>
          <w:t>Nicholas T. Bott, PsyD</w:t>
        </w:r>
        <w:r w:rsidR="006E13A6" w:rsidRPr="006E13A6">
          <w:rPr>
            <w:rFonts w:ascii="Helvetica" w:eastAsia="Times New Roman" w:hAnsi="Helvetica" w:cs="Helvetica"/>
            <w:color w:val="444444"/>
            <w:kern w:val="0"/>
            <w:sz w:val="21"/>
            <w:szCs w:val="21"/>
            <w:u w:val="single"/>
            <w:vertAlign w:val="superscript"/>
            <w14:ligatures w14:val="none"/>
          </w:rPr>
          <w:t>1</w:t>
        </w:r>
      </w:hyperlink>
      <w:r w:rsidR="006E13A6" w:rsidRPr="006E13A6">
        <w:rPr>
          <w:rFonts w:ascii="Helvetica" w:eastAsia="Times New Roman" w:hAnsi="Helvetica" w:cs="Helvetica"/>
          <w:color w:val="333333"/>
          <w:kern w:val="0"/>
          <w:sz w:val="21"/>
          <w:szCs w:val="21"/>
          <w14:ligatures w14:val="none"/>
        </w:rPr>
        <w:t>; </w:t>
      </w:r>
      <w:hyperlink r:id="rId6" w:tgtFrame="_blank" w:history="1">
        <w:r w:rsidR="006E13A6" w:rsidRPr="006E13A6">
          <w:rPr>
            <w:rFonts w:ascii="Helvetica" w:eastAsia="Times New Roman" w:hAnsi="Helvetica" w:cs="Helvetica"/>
            <w:color w:val="444444"/>
            <w:kern w:val="0"/>
            <w:sz w:val="21"/>
            <w:szCs w:val="21"/>
            <w:u w:val="single"/>
            <w14:ligatures w14:val="none"/>
          </w:rPr>
          <w:t>Clifford C. </w:t>
        </w:r>
        <w:proofErr w:type="spellStart"/>
        <w:r w:rsidR="006E13A6" w:rsidRPr="006E13A6">
          <w:rPr>
            <w:rFonts w:ascii="Helvetica" w:eastAsia="Times New Roman" w:hAnsi="Helvetica" w:cs="Helvetica"/>
            <w:color w:val="444444"/>
            <w:kern w:val="0"/>
            <w:sz w:val="21"/>
            <w:szCs w:val="21"/>
            <w:u w:val="single"/>
            <w14:ligatures w14:val="none"/>
          </w:rPr>
          <w:t>Sheckter</w:t>
        </w:r>
        <w:proofErr w:type="spellEnd"/>
        <w:r w:rsidR="006E13A6" w:rsidRPr="006E13A6">
          <w:rPr>
            <w:rFonts w:ascii="Helvetica" w:eastAsia="Times New Roman" w:hAnsi="Helvetica" w:cs="Helvetica"/>
            <w:color w:val="444444"/>
            <w:kern w:val="0"/>
            <w:sz w:val="21"/>
            <w:szCs w:val="21"/>
            <w:u w:val="single"/>
            <w14:ligatures w14:val="none"/>
          </w:rPr>
          <w:t>, MD</w:t>
        </w:r>
        <w:r w:rsidR="006E13A6" w:rsidRPr="006E13A6">
          <w:rPr>
            <w:rFonts w:ascii="Helvetica" w:eastAsia="Times New Roman" w:hAnsi="Helvetica" w:cs="Helvetica"/>
            <w:color w:val="444444"/>
            <w:kern w:val="0"/>
            <w:sz w:val="21"/>
            <w:szCs w:val="21"/>
            <w:u w:val="single"/>
            <w:vertAlign w:val="superscript"/>
            <w14:ligatures w14:val="none"/>
          </w:rPr>
          <w:t>1</w:t>
        </w:r>
      </w:hyperlink>
      <w:r w:rsidR="006E13A6" w:rsidRPr="006E13A6">
        <w:rPr>
          <w:rFonts w:ascii="Helvetica" w:eastAsia="Times New Roman" w:hAnsi="Helvetica" w:cs="Helvetica"/>
          <w:color w:val="333333"/>
          <w:kern w:val="0"/>
          <w:sz w:val="21"/>
          <w:szCs w:val="21"/>
          <w14:ligatures w14:val="none"/>
        </w:rPr>
        <w:t>; </w:t>
      </w:r>
      <w:hyperlink r:id="rId7" w:tgtFrame="_blank" w:history="1">
        <w:r w:rsidR="006E13A6" w:rsidRPr="006E13A6">
          <w:rPr>
            <w:rFonts w:ascii="Helvetica" w:eastAsia="Times New Roman" w:hAnsi="Helvetica" w:cs="Helvetica"/>
            <w:color w:val="444444"/>
            <w:kern w:val="0"/>
            <w:sz w:val="21"/>
            <w:szCs w:val="21"/>
            <w:u w:val="single"/>
            <w14:ligatures w14:val="none"/>
          </w:rPr>
          <w:t>Arnold S. Milstein, MD</w:t>
        </w:r>
        <w:r w:rsidR="006E13A6" w:rsidRPr="006E13A6">
          <w:rPr>
            <w:rFonts w:ascii="Helvetica" w:eastAsia="Times New Roman" w:hAnsi="Helvetica" w:cs="Helvetica"/>
            <w:color w:val="444444"/>
            <w:kern w:val="0"/>
            <w:sz w:val="21"/>
            <w:szCs w:val="21"/>
            <w:u w:val="single"/>
            <w:vertAlign w:val="superscript"/>
            <w14:ligatures w14:val="none"/>
          </w:rPr>
          <w:t>1</w:t>
        </w:r>
      </w:hyperlink>
    </w:p>
    <w:p w14:paraId="151D8B23" w14:textId="7FFFE65A" w:rsidR="006E13A6" w:rsidRPr="006E13A6" w:rsidRDefault="006E13A6" w:rsidP="00C962A6">
      <w:pPr>
        <w:spacing w:line="240" w:lineRule="auto"/>
        <w:rPr>
          <w:rFonts w:ascii="Helvetica" w:eastAsia="Times New Roman" w:hAnsi="Helvetica" w:cs="Helvetica"/>
          <w:color w:val="333333"/>
          <w:kern w:val="0"/>
          <w:sz w:val="21"/>
          <w:szCs w:val="21"/>
          <w14:ligatures w14:val="none"/>
        </w:rPr>
      </w:pPr>
      <w:r w:rsidRPr="006E13A6">
        <w:rPr>
          <w:rFonts w:ascii="Helvetica" w:eastAsia="Times New Roman" w:hAnsi="Helvetica" w:cs="Helvetica"/>
          <w:i/>
          <w:iCs/>
          <w:color w:val="333333"/>
          <w:kern w:val="0"/>
          <w:sz w:val="21"/>
          <w:szCs w:val="21"/>
          <w14:ligatures w14:val="none"/>
        </w:rPr>
        <w:t>J</w:t>
      </w:r>
      <w:r w:rsidR="00953B5E">
        <w:rPr>
          <w:rFonts w:ascii="Helvetica" w:eastAsia="Times New Roman" w:hAnsi="Helvetica" w:cs="Helvetica"/>
          <w:i/>
          <w:iCs/>
          <w:color w:val="333333"/>
          <w:kern w:val="0"/>
          <w:sz w:val="21"/>
          <w:szCs w:val="21"/>
          <w14:ligatures w14:val="none"/>
        </w:rPr>
        <w:t xml:space="preserve">ournal of </w:t>
      </w:r>
      <w:r w:rsidRPr="006E13A6">
        <w:rPr>
          <w:rFonts w:ascii="Helvetica" w:eastAsia="Times New Roman" w:hAnsi="Helvetica" w:cs="Helvetica"/>
          <w:i/>
          <w:iCs/>
          <w:color w:val="333333"/>
          <w:kern w:val="0"/>
          <w:sz w:val="21"/>
          <w:szCs w:val="21"/>
          <w14:ligatures w14:val="none"/>
        </w:rPr>
        <w:t>A</w:t>
      </w:r>
      <w:r w:rsidR="00953B5E">
        <w:rPr>
          <w:rFonts w:ascii="Helvetica" w:eastAsia="Times New Roman" w:hAnsi="Helvetica" w:cs="Helvetica"/>
          <w:i/>
          <w:iCs/>
          <w:color w:val="333333"/>
          <w:kern w:val="0"/>
          <w:sz w:val="21"/>
          <w:szCs w:val="21"/>
          <w14:ligatures w14:val="none"/>
        </w:rPr>
        <w:t>merican Medical Association –</w:t>
      </w:r>
      <w:r w:rsidRPr="006E13A6">
        <w:rPr>
          <w:rFonts w:ascii="Helvetica" w:eastAsia="Times New Roman" w:hAnsi="Helvetica" w:cs="Helvetica"/>
          <w:i/>
          <w:iCs/>
          <w:color w:val="333333"/>
          <w:kern w:val="0"/>
          <w:sz w:val="21"/>
          <w:szCs w:val="21"/>
          <w14:ligatures w14:val="none"/>
        </w:rPr>
        <w:t xml:space="preserve"> Neurol</w:t>
      </w:r>
      <w:r w:rsidR="00953B5E">
        <w:rPr>
          <w:rFonts w:ascii="Helvetica" w:eastAsia="Times New Roman" w:hAnsi="Helvetica" w:cs="Helvetica"/>
          <w:i/>
          <w:iCs/>
          <w:color w:val="333333"/>
          <w:kern w:val="0"/>
          <w:sz w:val="21"/>
          <w:szCs w:val="21"/>
          <w14:ligatures w14:val="none"/>
        </w:rPr>
        <w:t xml:space="preserve">ogy; </w:t>
      </w:r>
      <w:r w:rsidRPr="006E13A6">
        <w:rPr>
          <w:rFonts w:ascii="Helvetica" w:eastAsia="Times New Roman" w:hAnsi="Helvetica" w:cs="Helvetica"/>
          <w:color w:val="333333"/>
          <w:kern w:val="0"/>
          <w:sz w:val="21"/>
          <w:szCs w:val="21"/>
          <w14:ligatures w14:val="none"/>
        </w:rPr>
        <w:t>2017;</w:t>
      </w:r>
      <w:r w:rsidR="00953B5E">
        <w:rPr>
          <w:rFonts w:ascii="Helvetica" w:eastAsia="Times New Roman" w:hAnsi="Helvetica" w:cs="Helvetica"/>
          <w:color w:val="333333"/>
          <w:kern w:val="0"/>
          <w:sz w:val="21"/>
          <w:szCs w:val="21"/>
          <w14:ligatures w14:val="none"/>
        </w:rPr>
        <w:t xml:space="preserve"> </w:t>
      </w:r>
      <w:r w:rsidRPr="006E13A6">
        <w:rPr>
          <w:rFonts w:ascii="Helvetica" w:eastAsia="Times New Roman" w:hAnsi="Helvetica" w:cs="Helvetica"/>
          <w:color w:val="333333"/>
          <w:kern w:val="0"/>
          <w:sz w:val="21"/>
          <w:szCs w:val="21"/>
          <w14:ligatures w14:val="none"/>
        </w:rPr>
        <w:t>74(7):757-758</w:t>
      </w:r>
    </w:p>
    <w:p w14:paraId="100B0FEF" w14:textId="6339B41D" w:rsidR="006E13A6" w:rsidRPr="00C600A7" w:rsidRDefault="006E13A6" w:rsidP="006E13A6">
      <w:pPr>
        <w:spacing w:line="240" w:lineRule="auto"/>
        <w:rPr>
          <w:rFonts w:ascii="Helvetica" w:eastAsia="Times New Roman" w:hAnsi="Helvetica" w:cs="Helvetica"/>
          <w:color w:val="333333"/>
          <w:kern w:val="0"/>
          <w:u w:val="single"/>
          <w:vertAlign w:val="superscript"/>
          <w14:ligatures w14:val="none"/>
        </w:rPr>
      </w:pPr>
      <w:r w:rsidRPr="00C600A7">
        <w:rPr>
          <w:rFonts w:ascii="Helvetica" w:eastAsia="Times New Roman" w:hAnsi="Helvetica" w:cs="Helvetica"/>
          <w:color w:val="333333"/>
          <w:kern w:val="0"/>
          <w14:ligatures w14:val="none"/>
        </w:rPr>
        <w:t>Although encouraging evidence shows a decline in dementia prevalence,</w:t>
      </w:r>
      <w:hyperlink r:id="rId8" w:anchor="nvp170005r1" w:history="1">
        <w:r w:rsidRPr="00C600A7">
          <w:rPr>
            <w:rFonts w:ascii="Helvetica" w:eastAsia="Times New Roman" w:hAnsi="Helvetica" w:cs="Helvetica"/>
            <w:color w:val="333333"/>
            <w:kern w:val="0"/>
            <w:u w:val="single"/>
            <w:vertAlign w:val="superscript"/>
            <w14:ligatures w14:val="none"/>
          </w:rPr>
          <w:t>1</w:t>
        </w:r>
      </w:hyperlink>
      <w:r w:rsidRPr="00C600A7">
        <w:rPr>
          <w:rFonts w:ascii="Helvetica" w:eastAsia="Times New Roman" w:hAnsi="Helvetica" w:cs="Helvetica"/>
          <w:color w:val="333333"/>
          <w:kern w:val="0"/>
          <w14:ligatures w14:val="none"/>
        </w:rPr>
        <w:t> the percentage of the US population aged 65 years and older is predicted to rise to 20% by 2030 (from 13% in 2010). Age is the greatest risk factor for dementia,</w:t>
      </w:r>
      <w:hyperlink r:id="rId9" w:anchor="nvp170005r2" w:history="1">
        <w:r w:rsidRPr="00C600A7">
          <w:rPr>
            <w:rFonts w:ascii="Helvetica" w:eastAsia="Times New Roman" w:hAnsi="Helvetica" w:cs="Helvetica"/>
            <w:color w:val="333333"/>
            <w:kern w:val="0"/>
            <w:u w:val="single"/>
            <w:vertAlign w:val="superscript"/>
            <w14:ligatures w14:val="none"/>
          </w:rPr>
          <w:t>2</w:t>
        </w:r>
      </w:hyperlink>
      <w:r w:rsidRPr="00C600A7">
        <w:rPr>
          <w:rFonts w:ascii="Helvetica" w:eastAsia="Times New Roman" w:hAnsi="Helvetica" w:cs="Helvetica"/>
          <w:color w:val="333333"/>
          <w:kern w:val="0"/>
          <w14:ligatures w14:val="none"/>
        </w:rPr>
        <w:t> and the number of cases of dementia will continue to rise as a function of an aging population (approximately 8.4 million by 2030). The mainstay of treatment is functional support, and 83% of caregiving comes from unpaid sources: family. The average person with dementia requires 171 hours of care per month, which is more than 100 hours more care per month than those without dementia (mean of 66 hours per month).</w:t>
      </w:r>
      <w:hyperlink r:id="rId10" w:anchor="nvp170005r2" w:history="1">
        <w:r w:rsidRPr="00C600A7">
          <w:rPr>
            <w:rFonts w:ascii="Helvetica" w:eastAsia="Times New Roman" w:hAnsi="Helvetica" w:cs="Helvetica"/>
            <w:color w:val="333333"/>
            <w:kern w:val="0"/>
            <w:u w:val="single"/>
            <w:vertAlign w:val="superscript"/>
            <w14:ligatures w14:val="none"/>
          </w:rPr>
          <w:t>2</w:t>
        </w:r>
      </w:hyperlink>
    </w:p>
    <w:p w14:paraId="55C45E74" w14:textId="77777777" w:rsidR="00C600A7" w:rsidRDefault="00C600A7" w:rsidP="00C600A7">
      <w:pPr>
        <w:spacing w:line="240" w:lineRule="auto"/>
        <w:rPr>
          <w:rFonts w:ascii="Helvetica" w:hAnsi="Helvetica" w:cs="Helvetica"/>
          <w:color w:val="333333"/>
        </w:rPr>
      </w:pPr>
      <w:r>
        <w:rPr>
          <w:rFonts w:ascii="Helvetica" w:hAnsi="Helvetica" w:cs="Helvetica"/>
          <w:color w:val="333333"/>
        </w:rPr>
        <w:t>Women provide nearly two-thirds of all elder care, with wives more likely to care for husbands than vice versa and daughters 28% more likely to care for a parent than sons.</w:t>
      </w:r>
      <w:hyperlink r:id="rId11" w:anchor="nvp170005r2" w:history="1">
        <w:r>
          <w:rPr>
            <w:rStyle w:val="Hyperlink"/>
            <w:rFonts w:ascii="Helvetica" w:hAnsi="Helvetica" w:cs="Helvetica"/>
            <w:color w:val="D71635"/>
            <w:vertAlign w:val="superscript"/>
          </w:rPr>
          <w:t>2</w:t>
        </w:r>
      </w:hyperlink>
      <w:r>
        <w:rPr>
          <w:rFonts w:ascii="Helvetica" w:hAnsi="Helvetica" w:cs="Helvetica"/>
          <w:color w:val="333333"/>
        </w:rPr>
        <w:t> The best long-term care insurance in our country is a conscientious daughter.</w:t>
      </w:r>
    </w:p>
    <w:p w14:paraId="4B964144" w14:textId="77777777" w:rsidR="00BD58C7" w:rsidRDefault="00C600A7" w:rsidP="00BD58C7">
      <w:pPr>
        <w:spacing w:line="240" w:lineRule="auto"/>
        <w:ind w:left="1440" w:firstLine="720"/>
        <w:contextualSpacing/>
        <w:rPr>
          <w:rFonts w:ascii="Helvetica" w:hAnsi="Helvetica" w:cs="Helvetica"/>
          <w:color w:val="333333"/>
        </w:rPr>
      </w:pPr>
      <w:r>
        <w:rPr>
          <w:rFonts w:ascii="Helvetica" w:hAnsi="Helvetica" w:cs="Helvetica"/>
          <w:color w:val="333333"/>
        </w:rPr>
        <w:t xml:space="preserve">Questions: </w:t>
      </w:r>
    </w:p>
    <w:p w14:paraId="012AE6F7" w14:textId="77777777" w:rsidR="00BD58C7" w:rsidRDefault="00C600A7" w:rsidP="00BD58C7">
      <w:pPr>
        <w:spacing w:line="240" w:lineRule="auto"/>
        <w:ind w:left="1440" w:firstLine="720"/>
        <w:contextualSpacing/>
        <w:rPr>
          <w:rFonts w:ascii="Helvetica" w:hAnsi="Helvetica" w:cs="Helvetica"/>
          <w:color w:val="333333"/>
        </w:rPr>
      </w:pPr>
      <w:r>
        <w:rPr>
          <w:rFonts w:ascii="Helvetica" w:hAnsi="Helvetica" w:cs="Helvetica"/>
          <w:color w:val="333333"/>
        </w:rPr>
        <w:t xml:space="preserve">1. What is the greatest risk factor for dementia? </w:t>
      </w:r>
    </w:p>
    <w:p w14:paraId="1F1243CD" w14:textId="32F52220" w:rsidR="00C600A7" w:rsidRDefault="00C600A7" w:rsidP="00BD58C7">
      <w:pPr>
        <w:spacing w:line="240" w:lineRule="auto"/>
        <w:ind w:left="1440" w:firstLine="720"/>
        <w:contextualSpacing/>
        <w:rPr>
          <w:rFonts w:ascii="Helvetica" w:hAnsi="Helvetica" w:cs="Helvetica"/>
          <w:color w:val="333333"/>
        </w:rPr>
      </w:pPr>
      <w:r>
        <w:rPr>
          <w:rFonts w:ascii="Helvetica" w:hAnsi="Helvetica" w:cs="Helvetica"/>
          <w:color w:val="333333"/>
        </w:rPr>
        <w:t xml:space="preserve">2. Daughters </w:t>
      </w:r>
      <w:r w:rsidR="00BD58C7">
        <w:rPr>
          <w:rFonts w:ascii="Helvetica" w:hAnsi="Helvetica" w:cs="Helvetica"/>
          <w:color w:val="333333"/>
        </w:rPr>
        <w:t>are more likely to care for parents by what percentage?</w:t>
      </w:r>
    </w:p>
    <w:p w14:paraId="349C2F34" w14:textId="77777777" w:rsidR="00BD58C7" w:rsidRDefault="00BD58C7" w:rsidP="00BD58C7">
      <w:pPr>
        <w:spacing w:line="240" w:lineRule="auto"/>
        <w:contextualSpacing/>
        <w:jc w:val="center"/>
        <w:rPr>
          <w:rFonts w:ascii="Helvetica" w:hAnsi="Helvetica" w:cs="Helvetica"/>
          <w:color w:val="333333"/>
        </w:rPr>
      </w:pPr>
    </w:p>
    <w:p w14:paraId="51ED648E" w14:textId="25EF6A33" w:rsidR="00BD58C7" w:rsidRDefault="00BD58C7" w:rsidP="00BD58C7">
      <w:pPr>
        <w:spacing w:line="240" w:lineRule="auto"/>
        <w:contextualSpacing/>
        <w:jc w:val="center"/>
        <w:rPr>
          <w:rFonts w:ascii="Helvetica" w:hAnsi="Helvetica" w:cs="Helvetica"/>
          <w:color w:val="333333"/>
        </w:rPr>
      </w:pPr>
      <w:r>
        <w:rPr>
          <w:rFonts w:ascii="Helvetica" w:hAnsi="Helvetica" w:cs="Helvetica"/>
          <w:color w:val="333333"/>
        </w:rPr>
        <w:t>(</w:t>
      </w:r>
      <w:proofErr w:type="gramStart"/>
      <w:r>
        <w:rPr>
          <w:rFonts w:ascii="Helvetica" w:hAnsi="Helvetica" w:cs="Helvetica"/>
          <w:color w:val="333333"/>
        </w:rPr>
        <w:t>full</w:t>
      </w:r>
      <w:proofErr w:type="gramEnd"/>
      <w:r>
        <w:rPr>
          <w:rFonts w:ascii="Helvetica" w:hAnsi="Helvetica" w:cs="Helvetica"/>
          <w:color w:val="333333"/>
        </w:rPr>
        <w:t xml:space="preserve"> text below, not required to read)</w:t>
      </w:r>
    </w:p>
    <w:p w14:paraId="1A076425" w14:textId="77777777" w:rsidR="00BD58C7" w:rsidRDefault="00BD58C7" w:rsidP="00BD58C7">
      <w:pPr>
        <w:spacing w:line="240" w:lineRule="auto"/>
        <w:contextualSpacing/>
        <w:jc w:val="center"/>
        <w:rPr>
          <w:rFonts w:ascii="Helvetica" w:hAnsi="Helvetica" w:cs="Helvetica"/>
          <w:color w:val="333333"/>
        </w:rPr>
      </w:pPr>
    </w:p>
    <w:p w14:paraId="39F71F91" w14:textId="3FFC62EA" w:rsidR="00BD58C7" w:rsidRPr="00C600A7" w:rsidRDefault="00BD58C7" w:rsidP="00BD58C7">
      <w:pPr>
        <w:spacing w:line="240" w:lineRule="auto"/>
        <w:contextualSpacing/>
        <w:jc w:val="center"/>
        <w:rPr>
          <w:rFonts w:ascii="Helvetica" w:eastAsia="Times New Roman" w:hAnsi="Helvetica" w:cs="Helvetica"/>
          <w:color w:val="333333"/>
          <w:kern w:val="0"/>
          <w:sz w:val="32"/>
          <w:szCs w:val="32"/>
          <w:vertAlign w:val="superscript"/>
          <w14:ligatures w14:val="none"/>
        </w:rPr>
      </w:pPr>
      <w:r>
        <w:rPr>
          <w:rFonts w:ascii="Helvetica" w:hAnsi="Helvetica" w:cs="Helvetica"/>
          <w:color w:val="333333"/>
        </w:rPr>
        <w:t xml:space="preserve"> = = = = = = = = = = =</w:t>
      </w:r>
    </w:p>
    <w:p w14:paraId="5AF458C1" w14:textId="77777777" w:rsidR="00C600A7" w:rsidRPr="00C600A7" w:rsidRDefault="00C600A7" w:rsidP="00C600A7">
      <w:pPr>
        <w:rPr>
          <w:rFonts w:ascii="Helvetica" w:hAnsi="Helvetica" w:cs="Helvetica"/>
          <w:b/>
          <w:bCs/>
          <w:color w:val="981B1E"/>
          <w:sz w:val="24"/>
          <w:szCs w:val="24"/>
        </w:rPr>
      </w:pPr>
      <w:r w:rsidRPr="00C600A7">
        <w:rPr>
          <w:rFonts w:ascii="Helvetica" w:hAnsi="Helvetica" w:cs="Helvetica"/>
          <w:b/>
          <w:bCs/>
          <w:color w:val="981B1E"/>
          <w:sz w:val="24"/>
          <w:szCs w:val="24"/>
        </w:rPr>
        <w:t>Viewpoint</w:t>
      </w:r>
    </w:p>
    <w:p w14:paraId="6AFDCAC3" w14:textId="77777777" w:rsidR="00C600A7" w:rsidRPr="00C600A7" w:rsidRDefault="00C600A7" w:rsidP="00C600A7">
      <w:pPr>
        <w:rPr>
          <w:rFonts w:ascii="Helvetica" w:hAnsi="Helvetica" w:cs="Helvetica"/>
          <w:color w:val="333333"/>
          <w:sz w:val="24"/>
          <w:szCs w:val="24"/>
        </w:rPr>
      </w:pPr>
      <w:r w:rsidRPr="00C600A7">
        <w:rPr>
          <w:rStyle w:val="month"/>
          <w:rFonts w:ascii="Helvetica" w:hAnsi="Helvetica" w:cs="Helvetica"/>
          <w:color w:val="333333"/>
          <w:sz w:val="24"/>
          <w:szCs w:val="24"/>
        </w:rPr>
        <w:t>July </w:t>
      </w:r>
      <w:r w:rsidRPr="00C600A7">
        <w:rPr>
          <w:rStyle w:val="year"/>
          <w:rFonts w:ascii="Helvetica" w:hAnsi="Helvetica" w:cs="Helvetica"/>
          <w:color w:val="333333"/>
          <w:sz w:val="24"/>
          <w:szCs w:val="24"/>
        </w:rPr>
        <w:t>2017</w:t>
      </w:r>
    </w:p>
    <w:p w14:paraId="25589533" w14:textId="77777777" w:rsidR="00C600A7" w:rsidRPr="00C600A7" w:rsidRDefault="00C600A7" w:rsidP="00C600A7">
      <w:pPr>
        <w:pStyle w:val="Heading1"/>
        <w:spacing w:before="48" w:beforeAutospacing="0" w:after="84" w:afterAutospacing="0"/>
        <w:rPr>
          <w:rFonts w:ascii="Helvetica" w:hAnsi="Helvetica" w:cs="Helvetica"/>
          <w:color w:val="333333"/>
          <w:sz w:val="24"/>
          <w:szCs w:val="24"/>
        </w:rPr>
      </w:pPr>
      <w:r w:rsidRPr="00C600A7">
        <w:rPr>
          <w:rFonts w:ascii="Helvetica" w:hAnsi="Helvetica" w:cs="Helvetica"/>
          <w:color w:val="333333"/>
          <w:sz w:val="24"/>
          <w:szCs w:val="24"/>
        </w:rPr>
        <w:t xml:space="preserve">Dementia Care, Women's Health, and Gender </w:t>
      </w:r>
      <w:proofErr w:type="spellStart"/>
      <w:r w:rsidRPr="00C600A7">
        <w:rPr>
          <w:rFonts w:ascii="Helvetica" w:hAnsi="Helvetica" w:cs="Helvetica"/>
          <w:color w:val="333333"/>
          <w:sz w:val="24"/>
          <w:szCs w:val="24"/>
        </w:rPr>
        <w:t>Equity</w:t>
      </w:r>
      <w:r w:rsidRPr="00C600A7">
        <w:rPr>
          <w:rStyle w:val="Subtitle2"/>
          <w:rFonts w:ascii="Helvetica" w:hAnsi="Helvetica" w:cs="Helvetica"/>
          <w:b w:val="0"/>
          <w:bCs w:val="0"/>
          <w:color w:val="333333"/>
          <w:sz w:val="24"/>
          <w:szCs w:val="24"/>
        </w:rPr>
        <w:t>The</w:t>
      </w:r>
      <w:proofErr w:type="spellEnd"/>
      <w:r w:rsidRPr="00C600A7">
        <w:rPr>
          <w:rStyle w:val="Subtitle2"/>
          <w:rFonts w:ascii="Helvetica" w:hAnsi="Helvetica" w:cs="Helvetica"/>
          <w:b w:val="0"/>
          <w:bCs w:val="0"/>
          <w:color w:val="333333"/>
          <w:sz w:val="24"/>
          <w:szCs w:val="24"/>
        </w:rPr>
        <w:t xml:space="preserve"> Value of Well-Timed Caregiver Support</w:t>
      </w:r>
    </w:p>
    <w:p w14:paraId="526090D4" w14:textId="77777777" w:rsidR="00C600A7" w:rsidRDefault="002A19DA" w:rsidP="00C600A7">
      <w:pPr>
        <w:rPr>
          <w:rFonts w:ascii="Helvetica" w:hAnsi="Helvetica" w:cs="Helvetica"/>
          <w:color w:val="333333"/>
          <w:sz w:val="21"/>
          <w:szCs w:val="21"/>
        </w:rPr>
      </w:pPr>
      <w:hyperlink r:id="rId12" w:tgtFrame="_blank" w:history="1">
        <w:r w:rsidR="00C600A7">
          <w:rPr>
            <w:rStyle w:val="Hyperlink"/>
            <w:rFonts w:ascii="Helvetica" w:hAnsi="Helvetica" w:cs="Helvetica"/>
            <w:color w:val="444444"/>
            <w:sz w:val="21"/>
            <w:szCs w:val="21"/>
          </w:rPr>
          <w:t>Nicholas T. Bott, PsyD</w:t>
        </w:r>
        <w:r w:rsidR="00C600A7">
          <w:rPr>
            <w:rStyle w:val="Hyperlink"/>
            <w:rFonts w:ascii="Helvetica" w:hAnsi="Helvetica" w:cs="Helvetica"/>
            <w:color w:val="444444"/>
            <w:sz w:val="21"/>
            <w:szCs w:val="21"/>
            <w:vertAlign w:val="superscript"/>
          </w:rPr>
          <w:t>1</w:t>
        </w:r>
      </w:hyperlink>
      <w:r w:rsidR="00C600A7">
        <w:rPr>
          <w:rStyle w:val="al-author-delim"/>
          <w:rFonts w:ascii="Helvetica" w:hAnsi="Helvetica" w:cs="Helvetica"/>
          <w:color w:val="333333"/>
          <w:sz w:val="21"/>
          <w:szCs w:val="21"/>
        </w:rPr>
        <w:t>; </w:t>
      </w:r>
      <w:hyperlink r:id="rId13" w:tgtFrame="_blank" w:history="1">
        <w:r w:rsidR="00C600A7">
          <w:rPr>
            <w:rStyle w:val="Hyperlink"/>
            <w:rFonts w:ascii="Helvetica" w:hAnsi="Helvetica" w:cs="Helvetica"/>
            <w:color w:val="444444"/>
            <w:sz w:val="21"/>
            <w:szCs w:val="21"/>
          </w:rPr>
          <w:t>Clifford C. </w:t>
        </w:r>
        <w:proofErr w:type="spellStart"/>
        <w:r w:rsidR="00C600A7">
          <w:rPr>
            <w:rStyle w:val="Hyperlink"/>
            <w:rFonts w:ascii="Helvetica" w:hAnsi="Helvetica" w:cs="Helvetica"/>
            <w:color w:val="444444"/>
            <w:sz w:val="21"/>
            <w:szCs w:val="21"/>
          </w:rPr>
          <w:t>Sheckter</w:t>
        </w:r>
        <w:proofErr w:type="spellEnd"/>
        <w:r w:rsidR="00C600A7">
          <w:rPr>
            <w:rStyle w:val="Hyperlink"/>
            <w:rFonts w:ascii="Helvetica" w:hAnsi="Helvetica" w:cs="Helvetica"/>
            <w:color w:val="444444"/>
            <w:sz w:val="21"/>
            <w:szCs w:val="21"/>
          </w:rPr>
          <w:t>, MD</w:t>
        </w:r>
        <w:r w:rsidR="00C600A7">
          <w:rPr>
            <w:rStyle w:val="Hyperlink"/>
            <w:rFonts w:ascii="Helvetica" w:hAnsi="Helvetica" w:cs="Helvetica"/>
            <w:color w:val="444444"/>
            <w:sz w:val="21"/>
            <w:szCs w:val="21"/>
            <w:vertAlign w:val="superscript"/>
          </w:rPr>
          <w:t>1</w:t>
        </w:r>
      </w:hyperlink>
      <w:r w:rsidR="00C600A7">
        <w:rPr>
          <w:rStyle w:val="al-author-delim"/>
          <w:rFonts w:ascii="Helvetica" w:hAnsi="Helvetica" w:cs="Helvetica"/>
          <w:color w:val="333333"/>
          <w:sz w:val="21"/>
          <w:szCs w:val="21"/>
        </w:rPr>
        <w:t>; </w:t>
      </w:r>
      <w:hyperlink r:id="rId14" w:tgtFrame="_blank" w:history="1">
        <w:r w:rsidR="00C600A7">
          <w:rPr>
            <w:rStyle w:val="Hyperlink"/>
            <w:rFonts w:ascii="Helvetica" w:hAnsi="Helvetica" w:cs="Helvetica"/>
            <w:color w:val="444444"/>
            <w:sz w:val="21"/>
            <w:szCs w:val="21"/>
          </w:rPr>
          <w:t>Arnold S. Milstein, MD</w:t>
        </w:r>
        <w:r w:rsidR="00C600A7">
          <w:rPr>
            <w:rStyle w:val="Hyperlink"/>
            <w:rFonts w:ascii="Helvetica" w:hAnsi="Helvetica" w:cs="Helvetica"/>
            <w:color w:val="444444"/>
            <w:sz w:val="21"/>
            <w:szCs w:val="21"/>
            <w:vertAlign w:val="superscript"/>
          </w:rPr>
          <w:t>1</w:t>
        </w:r>
      </w:hyperlink>
    </w:p>
    <w:p w14:paraId="051FD4E5" w14:textId="77777777" w:rsidR="00C600A7" w:rsidRDefault="00C600A7" w:rsidP="00C600A7">
      <w:pPr>
        <w:rPr>
          <w:rFonts w:ascii="Helvetica" w:hAnsi="Helvetica" w:cs="Helvetica"/>
          <w:color w:val="333333"/>
          <w:sz w:val="21"/>
          <w:szCs w:val="21"/>
        </w:rPr>
      </w:pPr>
      <w:r>
        <w:rPr>
          <w:rStyle w:val="meta-citation-journal-name"/>
          <w:rFonts w:ascii="Helvetica" w:hAnsi="Helvetica" w:cs="Helvetica"/>
          <w:i/>
          <w:iCs/>
          <w:color w:val="333333"/>
          <w:sz w:val="21"/>
          <w:szCs w:val="21"/>
        </w:rPr>
        <w:t>JAMA Neurol. </w:t>
      </w:r>
      <w:r>
        <w:rPr>
          <w:rStyle w:val="meta-citation"/>
          <w:rFonts w:ascii="Helvetica" w:hAnsi="Helvetica" w:cs="Helvetica"/>
          <w:color w:val="333333"/>
          <w:sz w:val="21"/>
          <w:szCs w:val="21"/>
        </w:rPr>
        <w:t>2017;74(7):757-758. doi:10.1001/jamaneurol.2017.0403</w:t>
      </w:r>
    </w:p>
    <w:p w14:paraId="3137011A" w14:textId="77777777" w:rsidR="00C600A7" w:rsidRDefault="00C600A7" w:rsidP="00C600A7">
      <w:pPr>
        <w:pStyle w:val="para"/>
        <w:spacing w:before="0" w:beforeAutospacing="0" w:after="300" w:afterAutospacing="0"/>
        <w:rPr>
          <w:rFonts w:ascii="Helvetica" w:hAnsi="Helvetica" w:cs="Helvetica"/>
          <w:color w:val="333333"/>
        </w:rPr>
      </w:pPr>
      <w:r>
        <w:rPr>
          <w:rStyle w:val="drop-cap"/>
          <w:rFonts w:ascii="Helvetica" w:hAnsi="Helvetica" w:cs="Helvetica"/>
          <w:color w:val="333333"/>
          <w:sz w:val="84"/>
          <w:szCs w:val="84"/>
        </w:rPr>
        <w:t>A</w:t>
      </w:r>
      <w:r>
        <w:rPr>
          <w:rFonts w:ascii="Helvetica" w:hAnsi="Helvetica" w:cs="Helvetica"/>
          <w:color w:val="333333"/>
        </w:rPr>
        <w:t>lthough encouraging evidence shows a decline in dementia prevalence,</w:t>
      </w:r>
      <w:hyperlink r:id="rId15" w:anchor="nvp170005r1" w:history="1">
        <w:r>
          <w:rPr>
            <w:rStyle w:val="Hyperlink"/>
            <w:rFonts w:ascii="Helvetica" w:hAnsi="Helvetica" w:cs="Helvetica"/>
            <w:color w:val="D71635"/>
            <w:vertAlign w:val="superscript"/>
          </w:rPr>
          <w:t>1</w:t>
        </w:r>
      </w:hyperlink>
      <w:r>
        <w:rPr>
          <w:rFonts w:ascii="Helvetica" w:hAnsi="Helvetica" w:cs="Helvetica"/>
          <w:color w:val="333333"/>
        </w:rPr>
        <w:t> the percentage of the US population aged 65 years and older is predicted to rise to 20% by 2030 (from 13% in 2010). Age is the greatest risk factor for dementia,</w:t>
      </w:r>
      <w:hyperlink r:id="rId16" w:anchor="nvp170005r2" w:history="1">
        <w:r>
          <w:rPr>
            <w:rStyle w:val="Hyperlink"/>
            <w:rFonts w:ascii="Helvetica" w:hAnsi="Helvetica" w:cs="Helvetica"/>
            <w:color w:val="D71635"/>
            <w:vertAlign w:val="superscript"/>
          </w:rPr>
          <w:t>2</w:t>
        </w:r>
      </w:hyperlink>
      <w:r>
        <w:rPr>
          <w:rFonts w:ascii="Helvetica" w:hAnsi="Helvetica" w:cs="Helvetica"/>
          <w:color w:val="333333"/>
        </w:rPr>
        <w:t> and the number of cases of dementia will continue to rise as a function of an aging population (approximately 8.4 million by 2030). The mainstay of treatment is functional support, and 83% of caregiving comes from unpaid sources: family. The average person with dementia requires 171 hours of care per month, which is more than 100 hours more care per month than those without dementia (mean of 66 hours per month).</w:t>
      </w:r>
      <w:hyperlink r:id="rId17" w:anchor="nvp170005r2" w:history="1">
        <w:r>
          <w:rPr>
            <w:rStyle w:val="Hyperlink"/>
            <w:rFonts w:ascii="Helvetica" w:hAnsi="Helvetica" w:cs="Helvetica"/>
            <w:color w:val="D71635"/>
            <w:vertAlign w:val="superscript"/>
          </w:rPr>
          <w:t>2</w:t>
        </w:r>
      </w:hyperlink>
    </w:p>
    <w:p w14:paraId="263206DB" w14:textId="77777777" w:rsidR="00C600A7" w:rsidRDefault="00C600A7" w:rsidP="00C600A7">
      <w:pPr>
        <w:pStyle w:val="para"/>
        <w:spacing w:before="0" w:beforeAutospacing="0" w:after="300" w:afterAutospacing="0"/>
        <w:rPr>
          <w:rFonts w:ascii="Helvetica" w:hAnsi="Helvetica" w:cs="Helvetica"/>
          <w:color w:val="333333"/>
        </w:rPr>
      </w:pPr>
      <w:r>
        <w:rPr>
          <w:rFonts w:ascii="Helvetica" w:hAnsi="Helvetica" w:cs="Helvetica"/>
          <w:color w:val="333333"/>
        </w:rPr>
        <w:t>Women provide nearly two-thirds of all elder care, with wives more likely to care for husbands than vice versa and daughters 28% more likely to care for a parent than sons.</w:t>
      </w:r>
      <w:hyperlink r:id="rId18" w:anchor="nvp170005r2" w:history="1">
        <w:r>
          <w:rPr>
            <w:rStyle w:val="Hyperlink"/>
            <w:rFonts w:ascii="Helvetica" w:hAnsi="Helvetica" w:cs="Helvetica"/>
            <w:color w:val="D71635"/>
            <w:vertAlign w:val="superscript"/>
          </w:rPr>
          <w:t>2</w:t>
        </w:r>
      </w:hyperlink>
      <w:r>
        <w:rPr>
          <w:rFonts w:ascii="Helvetica" w:hAnsi="Helvetica" w:cs="Helvetica"/>
          <w:color w:val="333333"/>
        </w:rPr>
        <w:t> The best long-term care insurance in our country is a conscientious daughter. Making up 47% of the workforce in 2015, burgeoning caregiving demands will disproportionately fall on working-age women, as will the associated decreases in self-esteem.</w:t>
      </w:r>
    </w:p>
    <w:p w14:paraId="683DD32D" w14:textId="77777777" w:rsidR="00C600A7" w:rsidRDefault="00C600A7" w:rsidP="00C600A7">
      <w:pPr>
        <w:pStyle w:val="para"/>
        <w:spacing w:before="0" w:beforeAutospacing="0" w:after="300" w:afterAutospacing="0"/>
        <w:rPr>
          <w:rFonts w:ascii="Helvetica" w:hAnsi="Helvetica" w:cs="Helvetica"/>
          <w:color w:val="333333"/>
        </w:rPr>
      </w:pPr>
      <w:r>
        <w:rPr>
          <w:rFonts w:ascii="Helvetica" w:hAnsi="Helvetica" w:cs="Helvetica"/>
          <w:color w:val="333333"/>
        </w:rPr>
        <w:t>While caregiving for loved ones with dementia can certainly be meaningful, dispiriting routine tasks such as toileting, undergarment changing, and bathing are enduring challenges. Lack of daily predictability in dementia-linked symptoms intensifies the burden. Women are disproportionately at risk for lowering or exiting their career trajectory owing to caregiving demands.</w:t>
      </w:r>
      <w:hyperlink r:id="rId19" w:anchor="nvp170005r3" w:history="1">
        <w:r>
          <w:rPr>
            <w:rStyle w:val="Hyperlink"/>
            <w:rFonts w:ascii="Helvetica" w:hAnsi="Helvetica" w:cs="Helvetica"/>
            <w:color w:val="D71635"/>
            <w:vertAlign w:val="superscript"/>
          </w:rPr>
          <w:t>3</w:t>
        </w:r>
      </w:hyperlink>
      <w:r>
        <w:rPr>
          <w:rFonts w:ascii="Helvetica" w:hAnsi="Helvetica" w:cs="Helvetica"/>
          <w:color w:val="333333"/>
        </w:rPr>
        <w:t xml:space="preserve"> The combined </w:t>
      </w:r>
      <w:r>
        <w:rPr>
          <w:rFonts w:ascii="Helvetica" w:hAnsi="Helvetica" w:cs="Helvetica"/>
          <w:color w:val="333333"/>
        </w:rPr>
        <w:lastRenderedPageBreak/>
        <w:t>stresses of caring for family members with dementia and the lack of time to attend to personal needs can erode caregivers’ health.</w:t>
      </w:r>
      <w:hyperlink r:id="rId20" w:anchor="nvp170005r4" w:history="1">
        <w:r>
          <w:rPr>
            <w:rStyle w:val="Hyperlink"/>
            <w:rFonts w:ascii="Helvetica" w:hAnsi="Helvetica" w:cs="Helvetica"/>
            <w:color w:val="D71635"/>
            <w:vertAlign w:val="superscript"/>
          </w:rPr>
          <w:t>4</w:t>
        </w:r>
      </w:hyperlink>
      <w:r>
        <w:rPr>
          <w:rFonts w:ascii="Helvetica" w:hAnsi="Helvetica" w:cs="Helvetica"/>
          <w:color w:val="333333"/>
        </w:rPr>
        <w:t> For women who remain in the workforce, dementia care responsibilities can increase costs to their employers from absenteeism, productivity loss, stress-related disability claims, and health benefits plan spending. It remains to be seen whether men can be persuaded to assume an equal share of the burden of caregiving. While gender parity in childcare is modestly growing, gender parity in dementia care is unlikely to occur anytime soon.</w:t>
      </w:r>
      <w:hyperlink r:id="rId21" w:anchor="nvp170005r5" w:history="1">
        <w:r>
          <w:rPr>
            <w:rStyle w:val="Hyperlink"/>
            <w:rFonts w:ascii="Helvetica" w:hAnsi="Helvetica" w:cs="Helvetica"/>
            <w:color w:val="D71635"/>
            <w:vertAlign w:val="superscript"/>
          </w:rPr>
          <w:t>5</w:t>
        </w:r>
      </w:hyperlink>
      <w:r>
        <w:rPr>
          <w:rFonts w:ascii="Helvetica" w:hAnsi="Helvetica" w:cs="Helvetica"/>
          <w:color w:val="333333"/>
        </w:rPr>
        <w:t> Hard-fought gains toward equality in the workplace for women are at risk (</w:t>
      </w:r>
      <w:hyperlink r:id="rId22" w:anchor="nvp170005f1" w:history="1">
        <w:r>
          <w:rPr>
            <w:rStyle w:val="Hyperlink"/>
            <w:rFonts w:ascii="Helvetica" w:hAnsi="Helvetica" w:cs="Helvetica"/>
            <w:color w:val="000000"/>
          </w:rPr>
          <w:t>Figure</w:t>
        </w:r>
      </w:hyperlink>
      <w:r>
        <w:rPr>
          <w:rFonts w:ascii="Helvetica" w:hAnsi="Helvetica" w:cs="Helvetica"/>
          <w:color w:val="333333"/>
        </w:rPr>
        <w:t>).</w:t>
      </w:r>
    </w:p>
    <w:p w14:paraId="26DB5A76" w14:textId="77777777" w:rsidR="00C600A7" w:rsidRDefault="00C600A7" w:rsidP="00C600A7">
      <w:pPr>
        <w:rPr>
          <w:rFonts w:ascii="Helvetica" w:hAnsi="Helvetica" w:cs="Helvetica"/>
          <w:b/>
          <w:bCs/>
          <w:color w:val="333333"/>
        </w:rPr>
      </w:pPr>
      <w:r>
        <w:rPr>
          <w:rFonts w:ascii="Helvetica" w:hAnsi="Helvetica" w:cs="Helvetica"/>
          <w:b/>
          <w:bCs/>
          <w:color w:val="333333"/>
        </w:rPr>
        <w:t>Figure.  Caregiving by the Numbers</w:t>
      </w:r>
    </w:p>
    <w:p w14:paraId="482A3709" w14:textId="77777777" w:rsidR="00C600A7" w:rsidRDefault="002A19DA" w:rsidP="00C600A7">
      <w:pPr>
        <w:jc w:val="right"/>
        <w:rPr>
          <w:rFonts w:ascii="Helvetica" w:hAnsi="Helvetica" w:cs="Helvetica"/>
          <w:color w:val="333333"/>
        </w:rPr>
      </w:pPr>
      <w:hyperlink r:id="rId23" w:tgtFrame="_blank" w:history="1">
        <w:r w:rsidR="00C600A7">
          <w:rPr>
            <w:rStyle w:val="view-large-text"/>
            <w:rFonts w:ascii="Helvetica" w:hAnsi="Helvetica" w:cs="Helvetica"/>
            <w:color w:val="000000"/>
          </w:rPr>
          <w:t xml:space="preserve">View </w:t>
        </w:r>
        <w:proofErr w:type="spellStart"/>
        <w:r w:rsidR="00C600A7">
          <w:rPr>
            <w:rStyle w:val="view-large-text"/>
            <w:rFonts w:ascii="Helvetica" w:hAnsi="Helvetica" w:cs="Helvetica"/>
            <w:color w:val="000000"/>
          </w:rPr>
          <w:t>Large</w:t>
        </w:r>
      </w:hyperlink>
      <w:hyperlink r:id="rId24" w:history="1">
        <w:r w:rsidR="00C600A7">
          <w:rPr>
            <w:rStyle w:val="download-ppt-text"/>
            <w:rFonts w:ascii="Helvetica" w:hAnsi="Helvetica" w:cs="Helvetica"/>
            <w:color w:val="000000"/>
          </w:rPr>
          <w:t>Download</w:t>
        </w:r>
        <w:proofErr w:type="spellEnd"/>
      </w:hyperlink>
    </w:p>
    <w:p w14:paraId="168E29C4" w14:textId="50881AEF" w:rsidR="00C600A7" w:rsidRDefault="00C600A7" w:rsidP="00C600A7">
      <w:pPr>
        <w:jc w:val="center"/>
        <w:rPr>
          <w:rFonts w:ascii="Helvetica" w:hAnsi="Helvetica" w:cs="Helvetica"/>
          <w:color w:val="333333"/>
        </w:rPr>
      </w:pPr>
      <w:r>
        <w:rPr>
          <w:rFonts w:ascii="Helvetica" w:hAnsi="Helvetica" w:cs="Helvetica"/>
          <w:noProof/>
          <w:color w:val="D71635"/>
        </w:rPr>
        <w:drawing>
          <wp:inline distT="0" distB="0" distL="0" distR="0" wp14:anchorId="60A5FD54" wp14:editId="4AD7B6AE">
            <wp:extent cx="6858000" cy="2387600"/>
            <wp:effectExtent l="0" t="0" r="0" b="0"/>
            <wp:docPr id="278265195" name="Picture 1" descr="Caregiving by the Numbers">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giving by the Numbers">
                      <a:hlinkClick r:id="rId23"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0" cy="2387600"/>
                    </a:xfrm>
                    <a:prstGeom prst="rect">
                      <a:avLst/>
                    </a:prstGeom>
                    <a:noFill/>
                    <a:ln>
                      <a:noFill/>
                    </a:ln>
                  </pic:spPr>
                </pic:pic>
              </a:graphicData>
            </a:graphic>
          </wp:inline>
        </w:drawing>
      </w:r>
    </w:p>
    <w:p w14:paraId="66E50158" w14:textId="77777777" w:rsidR="00C600A7" w:rsidRDefault="00C600A7" w:rsidP="00C600A7">
      <w:pPr>
        <w:pStyle w:val="para"/>
        <w:spacing w:before="0" w:beforeAutospacing="0" w:after="0" w:afterAutospacing="0"/>
        <w:rPr>
          <w:rFonts w:ascii="Helvetica" w:hAnsi="Helvetica" w:cs="Helvetica"/>
          <w:color w:val="333333"/>
        </w:rPr>
      </w:pPr>
      <w:r>
        <w:rPr>
          <w:rFonts w:ascii="Helvetica" w:hAnsi="Helvetica" w:cs="Helvetica"/>
          <w:color w:val="333333"/>
        </w:rPr>
        <w:t>Data taken from the Alzheimer’s Association</w:t>
      </w:r>
      <w:hyperlink r:id="rId26" w:anchor="nvp170005r2" w:history="1">
        <w:r>
          <w:rPr>
            <w:rStyle w:val="Hyperlink"/>
            <w:rFonts w:ascii="Helvetica" w:hAnsi="Helvetica" w:cs="Helvetica"/>
            <w:color w:val="D71635"/>
            <w:vertAlign w:val="superscript"/>
          </w:rPr>
          <w:t>2</w:t>
        </w:r>
      </w:hyperlink>
      <w:r>
        <w:rPr>
          <w:rFonts w:ascii="Helvetica" w:hAnsi="Helvetica" w:cs="Helvetica"/>
          <w:color w:val="333333"/>
        </w:rPr>
        <w:t> and from the MetLife Mature Market Institute.</w:t>
      </w:r>
      <w:hyperlink r:id="rId27" w:anchor="nvp170005r6" w:history="1">
        <w:r>
          <w:rPr>
            <w:rStyle w:val="Hyperlink"/>
            <w:rFonts w:ascii="Helvetica" w:hAnsi="Helvetica" w:cs="Helvetica"/>
            <w:color w:val="D71635"/>
            <w:vertAlign w:val="superscript"/>
          </w:rPr>
          <w:t>6</w:t>
        </w:r>
      </w:hyperlink>
    </w:p>
    <w:p w14:paraId="7A716F32" w14:textId="77777777" w:rsidR="00C600A7" w:rsidRDefault="00C600A7" w:rsidP="00C600A7">
      <w:pPr>
        <w:pStyle w:val="para"/>
        <w:spacing w:before="0" w:beforeAutospacing="0" w:after="300" w:afterAutospacing="0"/>
        <w:rPr>
          <w:rFonts w:ascii="Helvetica" w:hAnsi="Helvetica" w:cs="Helvetica"/>
          <w:color w:val="333333"/>
        </w:rPr>
      </w:pPr>
      <w:r>
        <w:rPr>
          <w:rFonts w:ascii="Helvetica" w:hAnsi="Helvetica" w:cs="Helvetica"/>
          <w:color w:val="333333"/>
        </w:rPr>
        <w:t xml:space="preserve">Delivering and funding caregiving are separate problems, with intertwined solutions. Government-funded expansion for robust community support and in-home caregiving are offered by several Organization for Economic Co-operation and Development nations. The Netherlands’s famous “dementia village,” </w:t>
      </w:r>
      <w:proofErr w:type="spellStart"/>
      <w:r>
        <w:rPr>
          <w:rFonts w:ascii="Helvetica" w:hAnsi="Helvetica" w:cs="Helvetica"/>
          <w:color w:val="333333"/>
        </w:rPr>
        <w:t>Hogeweyk</w:t>
      </w:r>
      <w:proofErr w:type="spellEnd"/>
      <w:r>
        <w:rPr>
          <w:rFonts w:ascii="Helvetica" w:hAnsi="Helvetica" w:cs="Helvetica"/>
          <w:color w:val="333333"/>
        </w:rPr>
        <w:t>, and Japan’s supply of government-paid in-home caregivers are illustrative. In the United States, the 2016 political ascension of fiscal conservatives makes such a new entitlement unlikely. Proposals for a “Medicare Part E” that would allow senior citizens to trade reduced acute inpatient care benefits for new long-term care benefits have not gained traction. Combining Medicaid and Medicare dollars has enabled some successful innovations such as the Program for All-inclusive Care for the Elderly, although scaling has proven difficult owing to variation in state and local funding. For health systems operating fee-for-service Medicare, there is no incentive to support caregivers because these systems bear no risk. A few health care organizations operating Medicare Advantage plans provide in-home caregiving, reasoning that family burnout leads to emergency department visits and preventable costly hospitalizations.</w:t>
      </w:r>
    </w:p>
    <w:p w14:paraId="6CC3D662" w14:textId="77777777" w:rsidR="00C600A7" w:rsidRDefault="00C600A7" w:rsidP="00C600A7">
      <w:pPr>
        <w:pStyle w:val="para"/>
        <w:spacing w:before="0" w:beforeAutospacing="0" w:after="300" w:afterAutospacing="0"/>
        <w:rPr>
          <w:rFonts w:ascii="Helvetica" w:hAnsi="Helvetica" w:cs="Helvetica"/>
          <w:color w:val="333333"/>
        </w:rPr>
      </w:pPr>
      <w:r>
        <w:rPr>
          <w:rFonts w:ascii="Helvetica" w:hAnsi="Helvetica" w:cs="Helvetica"/>
          <w:color w:val="333333"/>
        </w:rPr>
        <w:t xml:space="preserve">While the Obama administration extended paid parental leave to federal employees and federal contractors, Deloitte LLP, a major international </w:t>
      </w:r>
      <w:proofErr w:type="gramStart"/>
      <w:r>
        <w:rPr>
          <w:rFonts w:ascii="Helvetica" w:hAnsi="Helvetica" w:cs="Helvetica"/>
          <w:color w:val="333333"/>
        </w:rPr>
        <w:t>accounting</w:t>
      </w:r>
      <w:proofErr w:type="gramEnd"/>
      <w:r>
        <w:rPr>
          <w:rFonts w:ascii="Helvetica" w:hAnsi="Helvetica" w:cs="Helvetica"/>
          <w:color w:val="333333"/>
        </w:rPr>
        <w:t xml:space="preserve"> and consulting firm, distinguished themselves by offering the most expansive paid family leave policy in the private sector. It allows all men and women up to 16 fully paid weeks to care for a family member including an aging parent. Paid leave at the start of the role transition to parenthood has generated diverse benefits for women and their employers including increased likelihood of returning to work, increased productivity, improved infant health outcomes, shorter child hospital stays, and improved maternal health.</w:t>
      </w:r>
      <w:hyperlink r:id="rId28" w:anchor="nvp170005r7" w:history="1">
        <w:r>
          <w:rPr>
            <w:rStyle w:val="Hyperlink"/>
            <w:rFonts w:ascii="Helvetica" w:hAnsi="Helvetica" w:cs="Helvetica"/>
            <w:color w:val="D71635"/>
            <w:vertAlign w:val="superscript"/>
          </w:rPr>
          <w:t>7</w:t>
        </w:r>
      </w:hyperlink>
      <w:r>
        <w:rPr>
          <w:rFonts w:ascii="Helvetica" w:hAnsi="Helvetica" w:cs="Helvetica"/>
          <w:color w:val="333333"/>
        </w:rPr>
        <w:t> Similarly, women are disproportionately at risk of early or complete workplace exit at the initiation of a high-intensity caregiving role.</w:t>
      </w:r>
    </w:p>
    <w:p w14:paraId="30046C4E" w14:textId="77777777" w:rsidR="00C600A7" w:rsidRDefault="00C600A7" w:rsidP="00C600A7">
      <w:pPr>
        <w:pStyle w:val="para"/>
        <w:spacing w:before="0" w:beforeAutospacing="0" w:after="300" w:afterAutospacing="0"/>
        <w:rPr>
          <w:rFonts w:ascii="Helvetica" w:hAnsi="Helvetica" w:cs="Helvetica"/>
          <w:color w:val="333333"/>
        </w:rPr>
      </w:pPr>
      <w:r>
        <w:rPr>
          <w:rFonts w:ascii="Helvetica" w:hAnsi="Helvetica" w:cs="Helvetica"/>
          <w:color w:val="333333"/>
        </w:rPr>
        <w:lastRenderedPageBreak/>
        <w:t>The potential economic dividends from the Deloitte policy will not only accrue to Deloitte shareholders but also to taxpayers. Employer-sponsored paid leave for elder care offers unique value to women workers through providing a circumscribed period of adjustment to the new role, enabling caregivers to develop and implement plans of care and thus mitigating the risk of workplace exit. Well-timed paid leave can be even more effective if combined with existing home-based interventions led by occupational therapists and “handymen” to preserve senior citizens’ capacity to perform activities of daily living and reduce the hours spent caregiving, which translates into further financial savings.</w:t>
      </w:r>
      <w:hyperlink r:id="rId29" w:anchor="nvp170005r8" w:history="1">
        <w:r>
          <w:rPr>
            <w:rStyle w:val="Hyperlink"/>
            <w:rFonts w:ascii="Helvetica" w:hAnsi="Helvetica" w:cs="Helvetica"/>
            <w:color w:val="D71635"/>
            <w:vertAlign w:val="superscript"/>
          </w:rPr>
          <w:t>8</w:t>
        </w:r>
      </w:hyperlink>
      <w:r>
        <w:rPr>
          <w:rFonts w:ascii="Helvetica" w:hAnsi="Helvetica" w:cs="Helvetica"/>
          <w:color w:val="333333"/>
          <w:vertAlign w:val="superscript"/>
        </w:rPr>
        <w:t>,</w:t>
      </w:r>
      <w:hyperlink r:id="rId30" w:anchor="nvp170005r9" w:history="1">
        <w:r>
          <w:rPr>
            <w:rStyle w:val="Hyperlink"/>
            <w:rFonts w:ascii="Helvetica" w:hAnsi="Helvetica" w:cs="Helvetica"/>
            <w:color w:val="D71635"/>
            <w:vertAlign w:val="superscript"/>
          </w:rPr>
          <w:t>9</w:t>
        </w:r>
      </w:hyperlink>
    </w:p>
    <w:p w14:paraId="34BBCC2C" w14:textId="77777777" w:rsidR="00C600A7" w:rsidRDefault="00C600A7" w:rsidP="00C600A7">
      <w:pPr>
        <w:pStyle w:val="para"/>
        <w:spacing w:before="0" w:beforeAutospacing="0" w:after="300" w:afterAutospacing="0"/>
        <w:rPr>
          <w:rFonts w:ascii="Helvetica" w:hAnsi="Helvetica" w:cs="Helvetica"/>
          <w:color w:val="333333"/>
        </w:rPr>
      </w:pPr>
      <w:r>
        <w:rPr>
          <w:rFonts w:ascii="Helvetica" w:hAnsi="Helvetica" w:cs="Helvetica"/>
          <w:color w:val="333333"/>
        </w:rPr>
        <w:t>A better-planned and buffered introduction to in-home family care for senior citizens with dementia will also improve quality of life and decrease the duration of frequently unwelcome institutional care because caregiver burnout predicts the frequency of hospitalization and earlier long-term care placement. These comprehensive benefits will also accrue to state taxpayers, whose governors struggle already with the costs of long-term care for most patients with dementia who spend-down their assets on caregiving fees and thereby qualify for Medicaid-funded long-term care. State and federal Medicaid fiscal challenges owing to the cost of dementia care will intensify. The Congressional Budget Office projects Medicaid spending on Long Term Services and Supports will grow at a mean of 5.5% per year, far in excess of gross domestic product growth, to reach an estimated $100 billion by 2023.</w:t>
      </w:r>
      <w:hyperlink r:id="rId31" w:anchor="nvp170005r10" w:history="1">
        <w:r>
          <w:rPr>
            <w:rStyle w:val="Hyperlink"/>
            <w:rFonts w:ascii="Helvetica" w:hAnsi="Helvetica" w:cs="Helvetica"/>
            <w:color w:val="D71635"/>
            <w:vertAlign w:val="superscript"/>
          </w:rPr>
          <w:t>10</w:t>
        </w:r>
      </w:hyperlink>
      <w:r>
        <w:rPr>
          <w:rFonts w:ascii="Helvetica" w:hAnsi="Helvetica" w:cs="Helvetica"/>
          <w:color w:val="333333"/>
        </w:rPr>
        <w:t> Federal tax subsidies allowing corporations to deduct the period of paid family leave may further incentivize employers.</w:t>
      </w:r>
    </w:p>
    <w:p w14:paraId="239473AD" w14:textId="77777777" w:rsidR="00C600A7" w:rsidRDefault="00C600A7" w:rsidP="00C600A7">
      <w:pPr>
        <w:pStyle w:val="para"/>
        <w:spacing w:before="0" w:beforeAutospacing="0" w:after="300" w:afterAutospacing="0"/>
        <w:rPr>
          <w:rFonts w:ascii="Helvetica" w:hAnsi="Helvetica" w:cs="Helvetica"/>
          <w:color w:val="333333"/>
        </w:rPr>
      </w:pPr>
      <w:r>
        <w:rPr>
          <w:rFonts w:ascii="Helvetica" w:hAnsi="Helvetica" w:cs="Helvetica"/>
          <w:color w:val="333333"/>
        </w:rPr>
        <w:t>A comprehensive solution for elder care remains politically elusive. Until federal coverage for in-home caregiving is legislated, employer-based paid leave policies are uniquely positioned to fill the gap. More expansive family leave policies will be particularly valuable for employees serving as caregivers for loved ones with dementia, most of whom will be women. Clinicians also have a key role to play. On making the diagnosis of dementia, they can educate families about the mean number of weekly hours of caregiving that will be required, reliably refer them to local social services, and support family discussions of the career-long effect of the gender gap. Gender health and economic equity are at risk as the proportion of our population that will struggle with the burden of dementia predictably surges.</w:t>
      </w:r>
    </w:p>
    <w:p w14:paraId="11267676" w14:textId="77777777" w:rsidR="00C600A7" w:rsidRDefault="002A19DA" w:rsidP="00C600A7">
      <w:pPr>
        <w:rPr>
          <w:rFonts w:ascii="Helvetica" w:hAnsi="Helvetica" w:cs="Helvetica"/>
          <w:color w:val="333333"/>
          <w:sz w:val="36"/>
          <w:szCs w:val="36"/>
        </w:rPr>
      </w:pPr>
      <w:hyperlink r:id="rId32" w:anchor="top" w:history="1">
        <w:r w:rsidR="00C600A7">
          <w:rPr>
            <w:rStyle w:val="Hyperlink"/>
            <w:rFonts w:ascii="Helvetica" w:hAnsi="Helvetica" w:cs="Helvetica"/>
            <w:color w:val="D71635"/>
          </w:rPr>
          <w:t>Back to top</w:t>
        </w:r>
      </w:hyperlink>
    </w:p>
    <w:p w14:paraId="0B9B52B4" w14:textId="77777777" w:rsidR="00C600A7" w:rsidRDefault="00C600A7" w:rsidP="00C600A7">
      <w:pPr>
        <w:rPr>
          <w:rFonts w:ascii="Helvetica" w:hAnsi="Helvetica" w:cs="Helvetica"/>
          <w:color w:val="981B1E"/>
          <w:sz w:val="36"/>
          <w:szCs w:val="36"/>
        </w:rPr>
      </w:pPr>
      <w:r>
        <w:rPr>
          <w:rFonts w:ascii="Helvetica" w:hAnsi="Helvetica" w:cs="Helvetica"/>
          <w:color w:val="981B1E"/>
          <w:sz w:val="36"/>
          <w:szCs w:val="36"/>
        </w:rPr>
        <w:t>Article Information</w:t>
      </w:r>
    </w:p>
    <w:p w14:paraId="60C081F4" w14:textId="77777777" w:rsidR="00C600A7" w:rsidRDefault="00C600A7" w:rsidP="00C600A7">
      <w:pPr>
        <w:pStyle w:val="authorinfosection"/>
        <w:spacing w:before="0" w:beforeAutospacing="0" w:after="300" w:afterAutospacing="0"/>
        <w:rPr>
          <w:rFonts w:ascii="Helvetica" w:hAnsi="Helvetica" w:cs="Helvetica"/>
          <w:color w:val="333333"/>
        </w:rPr>
      </w:pPr>
      <w:r>
        <w:rPr>
          <w:rStyle w:val="Strong"/>
          <w:rFonts w:ascii="Helvetica" w:hAnsi="Helvetica" w:cs="Helvetica"/>
          <w:color w:val="000000"/>
        </w:rPr>
        <w:t>Corresponding Author:</w:t>
      </w:r>
      <w:r>
        <w:rPr>
          <w:rFonts w:ascii="Helvetica" w:hAnsi="Helvetica" w:cs="Helvetica"/>
          <w:color w:val="333333"/>
        </w:rPr>
        <w:t> Nicholas T. Bott, PsyD, Clinical Excellence Research Center Stanford University, School of Medicine, 75 Alta Rd, Stanford, CA 94305, (</w:t>
      </w:r>
      <w:hyperlink r:id="rId33" w:tgtFrame="_blank" w:history="1">
        <w:r>
          <w:rPr>
            <w:rStyle w:val="Hyperlink"/>
            <w:rFonts w:ascii="Helvetica" w:hAnsi="Helvetica" w:cs="Helvetica"/>
            <w:color w:val="D71635"/>
          </w:rPr>
          <w:t>nbott@stanford.edu</w:t>
        </w:r>
      </w:hyperlink>
      <w:r>
        <w:rPr>
          <w:rFonts w:ascii="Helvetica" w:hAnsi="Helvetica" w:cs="Helvetica"/>
          <w:color w:val="333333"/>
        </w:rPr>
        <w:t>).</w:t>
      </w:r>
    </w:p>
    <w:p w14:paraId="5446612E" w14:textId="77777777" w:rsidR="00C600A7" w:rsidRDefault="00C600A7" w:rsidP="00C600A7">
      <w:pPr>
        <w:pStyle w:val="parapublished-online"/>
        <w:spacing w:before="0" w:beforeAutospacing="0" w:after="300" w:afterAutospacing="0"/>
        <w:rPr>
          <w:rFonts w:ascii="Helvetica" w:hAnsi="Helvetica" w:cs="Helvetica"/>
          <w:color w:val="333333"/>
        </w:rPr>
      </w:pPr>
      <w:r>
        <w:rPr>
          <w:rStyle w:val="Strong"/>
          <w:rFonts w:ascii="Helvetica" w:hAnsi="Helvetica" w:cs="Helvetica"/>
          <w:color w:val="000000"/>
        </w:rPr>
        <w:t>Published Online:</w:t>
      </w:r>
      <w:r>
        <w:rPr>
          <w:rFonts w:ascii="Helvetica" w:hAnsi="Helvetica" w:cs="Helvetica"/>
          <w:color w:val="333333"/>
        </w:rPr>
        <w:t> May 8, 2017. doi:</w:t>
      </w:r>
      <w:hyperlink r:id="rId34" w:tgtFrame="_blank" w:history="1">
        <w:r>
          <w:rPr>
            <w:rStyle w:val="Hyperlink"/>
            <w:rFonts w:ascii="Helvetica" w:hAnsi="Helvetica" w:cs="Helvetica"/>
            <w:color w:val="D71635"/>
          </w:rPr>
          <w:t>10.1001/jamaneurol.2017.0403</w:t>
        </w:r>
      </w:hyperlink>
    </w:p>
    <w:p w14:paraId="3F4C5B28" w14:textId="77777777" w:rsidR="002A19DA" w:rsidRPr="006D01DC" w:rsidRDefault="002A19DA">
      <w:pPr>
        <w:spacing w:after="100" w:afterAutospacing="1" w:line="240" w:lineRule="auto"/>
        <w:rPr>
          <w:rFonts w:ascii="Times New Roman" w:eastAsia="Times New Roman" w:hAnsi="Times New Roman" w:cs="Times New Roman"/>
          <w:kern w:val="0"/>
          <w:sz w:val="24"/>
          <w:szCs w:val="24"/>
          <w14:ligatures w14:val="none"/>
        </w:rPr>
      </w:pPr>
    </w:p>
    <w:sectPr w:rsidR="002A19DA" w:rsidRPr="006D01DC" w:rsidSect="006E13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958C4"/>
    <w:multiLevelType w:val="hybridMultilevel"/>
    <w:tmpl w:val="024A3118"/>
    <w:lvl w:ilvl="0" w:tplc="AF0E379E">
      <w:start w:val="1"/>
      <w:numFmt w:val="decimal"/>
      <w:lvlText w:val="%1."/>
      <w:lvlJc w:val="left"/>
      <w:pPr>
        <w:ind w:left="720" w:hanging="360"/>
      </w:pPr>
      <w:rPr>
        <w:rFonts w:eastAsiaTheme="minorHAns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A1897"/>
    <w:multiLevelType w:val="hybridMultilevel"/>
    <w:tmpl w:val="520CE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226907">
    <w:abstractNumId w:val="0"/>
  </w:num>
  <w:num w:numId="2" w16cid:durableId="329529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09"/>
    <w:rsid w:val="00212409"/>
    <w:rsid w:val="00252FFF"/>
    <w:rsid w:val="002A19DA"/>
    <w:rsid w:val="006D01DC"/>
    <w:rsid w:val="006E13A6"/>
    <w:rsid w:val="00953B5E"/>
    <w:rsid w:val="00BD58C7"/>
    <w:rsid w:val="00C600A7"/>
    <w:rsid w:val="00C962A6"/>
    <w:rsid w:val="00CD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226F"/>
  <w15:chartTrackingRefBased/>
  <w15:docId w15:val="{1FAED505-DF93-41A3-89AA-ECDBE816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3A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3A6"/>
    <w:rPr>
      <w:rFonts w:ascii="Times New Roman" w:eastAsia="Times New Roman" w:hAnsi="Times New Roman" w:cs="Times New Roman"/>
      <w:b/>
      <w:bCs/>
      <w:kern w:val="36"/>
      <w:sz w:val="48"/>
      <w:szCs w:val="48"/>
      <w14:ligatures w14:val="none"/>
    </w:rPr>
  </w:style>
  <w:style w:type="character" w:customStyle="1" w:styleId="month">
    <w:name w:val="month"/>
    <w:basedOn w:val="DefaultParagraphFont"/>
    <w:rsid w:val="006E13A6"/>
  </w:style>
  <w:style w:type="character" w:customStyle="1" w:styleId="year">
    <w:name w:val="year"/>
    <w:basedOn w:val="DefaultParagraphFont"/>
    <w:rsid w:val="006E13A6"/>
  </w:style>
  <w:style w:type="character" w:customStyle="1" w:styleId="Subtitle1">
    <w:name w:val="Subtitle1"/>
    <w:basedOn w:val="DefaultParagraphFont"/>
    <w:rsid w:val="006E13A6"/>
  </w:style>
  <w:style w:type="character" w:customStyle="1" w:styleId="wi-fullname">
    <w:name w:val="wi-fullname"/>
    <w:basedOn w:val="DefaultParagraphFont"/>
    <w:rsid w:val="006E13A6"/>
  </w:style>
  <w:style w:type="character" w:styleId="Hyperlink">
    <w:name w:val="Hyperlink"/>
    <w:basedOn w:val="DefaultParagraphFont"/>
    <w:uiPriority w:val="99"/>
    <w:unhideWhenUsed/>
    <w:rsid w:val="006E13A6"/>
    <w:rPr>
      <w:color w:val="0000FF"/>
      <w:u w:val="single"/>
    </w:rPr>
  </w:style>
  <w:style w:type="character" w:customStyle="1" w:styleId="al-author-delim">
    <w:name w:val="al-author-delim"/>
    <w:basedOn w:val="DefaultParagraphFont"/>
    <w:rsid w:val="006E13A6"/>
  </w:style>
  <w:style w:type="character" w:customStyle="1" w:styleId="meta-citation-journal-name">
    <w:name w:val="meta-citation-journal-name"/>
    <w:basedOn w:val="DefaultParagraphFont"/>
    <w:rsid w:val="006E13A6"/>
  </w:style>
  <w:style w:type="character" w:customStyle="1" w:styleId="meta-citation">
    <w:name w:val="meta-citation"/>
    <w:basedOn w:val="DefaultParagraphFont"/>
    <w:rsid w:val="006E13A6"/>
  </w:style>
  <w:style w:type="character" w:customStyle="1" w:styleId="full-text-link--text-top">
    <w:name w:val="full-text-link--text-top"/>
    <w:basedOn w:val="DefaultParagraphFont"/>
    <w:rsid w:val="006E13A6"/>
  </w:style>
  <w:style w:type="paragraph" w:customStyle="1" w:styleId="para">
    <w:name w:val="para"/>
    <w:basedOn w:val="Normal"/>
    <w:rsid w:val="006E13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xte">
    <w:name w:val="jxte"/>
    <w:basedOn w:val="Normal"/>
    <w:rsid w:val="006E13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chg">
    <w:name w:val="tchg"/>
    <w:basedOn w:val="DefaultParagraphFont"/>
    <w:rsid w:val="006E13A6"/>
  </w:style>
  <w:style w:type="paragraph" w:customStyle="1" w:styleId="ekqk">
    <w:name w:val="ekqk"/>
    <w:basedOn w:val="Normal"/>
    <w:rsid w:val="006E13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6E13A6"/>
    <w:rPr>
      <w:color w:val="605E5C"/>
      <w:shd w:val="clear" w:color="auto" w:fill="E1DFDD"/>
    </w:rPr>
  </w:style>
  <w:style w:type="character" w:customStyle="1" w:styleId="Subtitle2">
    <w:name w:val="Subtitle2"/>
    <w:basedOn w:val="DefaultParagraphFont"/>
    <w:rsid w:val="00C600A7"/>
  </w:style>
  <w:style w:type="character" w:customStyle="1" w:styleId="drop-cap">
    <w:name w:val="drop-cap"/>
    <w:basedOn w:val="DefaultParagraphFont"/>
    <w:rsid w:val="00C600A7"/>
  </w:style>
  <w:style w:type="character" w:customStyle="1" w:styleId="view-large-text">
    <w:name w:val="view-large-text"/>
    <w:basedOn w:val="DefaultParagraphFont"/>
    <w:rsid w:val="00C600A7"/>
  </w:style>
  <w:style w:type="character" w:customStyle="1" w:styleId="download-ppt-text">
    <w:name w:val="download-ppt-text"/>
    <w:basedOn w:val="DefaultParagraphFont"/>
    <w:rsid w:val="00C600A7"/>
  </w:style>
  <w:style w:type="paragraph" w:customStyle="1" w:styleId="authorinfosection">
    <w:name w:val="authorinfosection"/>
    <w:basedOn w:val="Normal"/>
    <w:rsid w:val="00C600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600A7"/>
    <w:rPr>
      <w:b/>
      <w:bCs/>
    </w:rPr>
  </w:style>
  <w:style w:type="paragraph" w:customStyle="1" w:styleId="parapublished-online">
    <w:name w:val="parapublished-online"/>
    <w:basedOn w:val="Normal"/>
    <w:rsid w:val="00C600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6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895148">
      <w:bodyDiv w:val="1"/>
      <w:marLeft w:val="0"/>
      <w:marRight w:val="0"/>
      <w:marTop w:val="0"/>
      <w:marBottom w:val="0"/>
      <w:divBdr>
        <w:top w:val="none" w:sz="0" w:space="0" w:color="auto"/>
        <w:left w:val="none" w:sz="0" w:space="0" w:color="auto"/>
        <w:bottom w:val="none" w:sz="0" w:space="0" w:color="auto"/>
        <w:right w:val="none" w:sz="0" w:space="0" w:color="auto"/>
      </w:divBdr>
      <w:divsChild>
        <w:div w:id="28915876">
          <w:marLeft w:val="0"/>
          <w:marRight w:val="0"/>
          <w:marTop w:val="0"/>
          <w:marBottom w:val="0"/>
          <w:divBdr>
            <w:top w:val="none" w:sz="0" w:space="0" w:color="auto"/>
            <w:left w:val="none" w:sz="0" w:space="0" w:color="auto"/>
            <w:bottom w:val="none" w:sz="0" w:space="0" w:color="auto"/>
            <w:right w:val="none" w:sz="0" w:space="0" w:color="auto"/>
          </w:divBdr>
          <w:divsChild>
            <w:div w:id="1486706373">
              <w:marLeft w:val="0"/>
              <w:marRight w:val="0"/>
              <w:marTop w:val="0"/>
              <w:marBottom w:val="0"/>
              <w:divBdr>
                <w:top w:val="none" w:sz="0" w:space="0" w:color="auto"/>
                <w:left w:val="none" w:sz="0" w:space="0" w:color="auto"/>
                <w:bottom w:val="none" w:sz="0" w:space="0" w:color="auto"/>
                <w:right w:val="none" w:sz="0" w:space="0" w:color="auto"/>
              </w:divBdr>
            </w:div>
            <w:div w:id="1227230209">
              <w:marLeft w:val="0"/>
              <w:marRight w:val="0"/>
              <w:marTop w:val="0"/>
              <w:marBottom w:val="0"/>
              <w:divBdr>
                <w:top w:val="none" w:sz="0" w:space="0" w:color="auto"/>
                <w:left w:val="none" w:sz="0" w:space="0" w:color="auto"/>
                <w:bottom w:val="none" w:sz="0" w:space="0" w:color="auto"/>
                <w:right w:val="none" w:sz="0" w:space="0" w:color="auto"/>
              </w:divBdr>
              <w:divsChild>
                <w:div w:id="294288311">
                  <w:marLeft w:val="0"/>
                  <w:marRight w:val="0"/>
                  <w:marTop w:val="0"/>
                  <w:marBottom w:val="0"/>
                  <w:divBdr>
                    <w:top w:val="none" w:sz="0" w:space="0" w:color="auto"/>
                    <w:left w:val="none" w:sz="0" w:space="0" w:color="auto"/>
                    <w:bottom w:val="none" w:sz="0" w:space="0" w:color="auto"/>
                    <w:right w:val="none" w:sz="0" w:space="0" w:color="auto"/>
                  </w:divBdr>
                  <w:divsChild>
                    <w:div w:id="390274441">
                      <w:marLeft w:val="0"/>
                      <w:marRight w:val="0"/>
                      <w:marTop w:val="0"/>
                      <w:marBottom w:val="0"/>
                      <w:divBdr>
                        <w:top w:val="none" w:sz="0" w:space="0" w:color="auto"/>
                        <w:left w:val="none" w:sz="0" w:space="0" w:color="auto"/>
                        <w:bottom w:val="none" w:sz="0" w:space="0" w:color="auto"/>
                        <w:right w:val="none" w:sz="0" w:space="0" w:color="auto"/>
                      </w:divBdr>
                      <w:divsChild>
                        <w:div w:id="1457986396">
                          <w:marLeft w:val="0"/>
                          <w:marRight w:val="0"/>
                          <w:marTop w:val="0"/>
                          <w:marBottom w:val="0"/>
                          <w:divBdr>
                            <w:top w:val="none" w:sz="0" w:space="0" w:color="auto"/>
                            <w:left w:val="none" w:sz="0" w:space="0" w:color="auto"/>
                            <w:bottom w:val="none" w:sz="0" w:space="0" w:color="auto"/>
                            <w:right w:val="none" w:sz="0" w:space="0" w:color="auto"/>
                          </w:divBdr>
                          <w:divsChild>
                            <w:div w:id="14875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490649">
          <w:marLeft w:val="0"/>
          <w:marRight w:val="0"/>
          <w:marTop w:val="0"/>
          <w:marBottom w:val="0"/>
          <w:divBdr>
            <w:top w:val="none" w:sz="0" w:space="0" w:color="auto"/>
            <w:left w:val="none" w:sz="0" w:space="0" w:color="auto"/>
            <w:bottom w:val="none" w:sz="0" w:space="0" w:color="auto"/>
            <w:right w:val="none" w:sz="0" w:space="0" w:color="auto"/>
          </w:divBdr>
          <w:divsChild>
            <w:div w:id="2114589057">
              <w:marLeft w:val="0"/>
              <w:marRight w:val="0"/>
              <w:marTop w:val="0"/>
              <w:marBottom w:val="0"/>
              <w:divBdr>
                <w:top w:val="none" w:sz="0" w:space="0" w:color="auto"/>
                <w:left w:val="none" w:sz="0" w:space="0" w:color="auto"/>
                <w:bottom w:val="none" w:sz="0" w:space="0" w:color="auto"/>
                <w:right w:val="none" w:sz="0" w:space="0" w:color="auto"/>
              </w:divBdr>
              <w:divsChild>
                <w:div w:id="1025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57922">
      <w:bodyDiv w:val="1"/>
      <w:marLeft w:val="0"/>
      <w:marRight w:val="0"/>
      <w:marTop w:val="0"/>
      <w:marBottom w:val="0"/>
      <w:divBdr>
        <w:top w:val="none" w:sz="0" w:space="0" w:color="auto"/>
        <w:left w:val="none" w:sz="0" w:space="0" w:color="auto"/>
        <w:bottom w:val="none" w:sz="0" w:space="0" w:color="auto"/>
        <w:right w:val="none" w:sz="0" w:space="0" w:color="auto"/>
      </w:divBdr>
      <w:divsChild>
        <w:div w:id="1668482299">
          <w:marLeft w:val="0"/>
          <w:marRight w:val="0"/>
          <w:marTop w:val="0"/>
          <w:marBottom w:val="480"/>
          <w:divBdr>
            <w:top w:val="none" w:sz="0" w:space="0" w:color="auto"/>
            <w:left w:val="none" w:sz="0" w:space="0" w:color="auto"/>
            <w:bottom w:val="none" w:sz="0" w:space="0" w:color="auto"/>
            <w:right w:val="none" w:sz="0" w:space="0" w:color="auto"/>
          </w:divBdr>
          <w:divsChild>
            <w:div w:id="1535196422">
              <w:marLeft w:val="0"/>
              <w:marRight w:val="0"/>
              <w:marTop w:val="0"/>
              <w:marBottom w:val="120"/>
              <w:divBdr>
                <w:top w:val="none" w:sz="0" w:space="0" w:color="auto"/>
                <w:left w:val="none" w:sz="0" w:space="0" w:color="auto"/>
                <w:bottom w:val="none" w:sz="0" w:space="0" w:color="auto"/>
                <w:right w:val="none" w:sz="0" w:space="0" w:color="auto"/>
              </w:divBdr>
              <w:divsChild>
                <w:div w:id="71588165">
                  <w:marLeft w:val="0"/>
                  <w:marRight w:val="0"/>
                  <w:marTop w:val="0"/>
                  <w:marBottom w:val="72"/>
                  <w:divBdr>
                    <w:top w:val="none" w:sz="0" w:space="0" w:color="auto"/>
                    <w:left w:val="none" w:sz="0" w:space="0" w:color="auto"/>
                    <w:bottom w:val="none" w:sz="0" w:space="0" w:color="auto"/>
                    <w:right w:val="none" w:sz="0" w:space="0" w:color="auto"/>
                  </w:divBdr>
                </w:div>
              </w:divsChild>
            </w:div>
            <w:div w:id="772169029">
              <w:marLeft w:val="0"/>
              <w:marRight w:val="0"/>
              <w:marTop w:val="0"/>
              <w:marBottom w:val="48"/>
              <w:divBdr>
                <w:top w:val="none" w:sz="0" w:space="0" w:color="auto"/>
                <w:left w:val="none" w:sz="0" w:space="0" w:color="auto"/>
                <w:bottom w:val="none" w:sz="0" w:space="0" w:color="auto"/>
                <w:right w:val="none" w:sz="0" w:space="0" w:color="auto"/>
              </w:divBdr>
            </w:div>
            <w:div w:id="966080982">
              <w:marLeft w:val="0"/>
              <w:marRight w:val="0"/>
              <w:marTop w:val="0"/>
              <w:marBottom w:val="0"/>
              <w:divBdr>
                <w:top w:val="none" w:sz="0" w:space="0" w:color="auto"/>
                <w:left w:val="none" w:sz="0" w:space="0" w:color="auto"/>
                <w:bottom w:val="none" w:sz="0" w:space="0" w:color="auto"/>
                <w:right w:val="none" w:sz="0" w:space="0" w:color="auto"/>
              </w:divBdr>
            </w:div>
            <w:div w:id="1450591362">
              <w:marLeft w:val="0"/>
              <w:marRight w:val="0"/>
              <w:marTop w:val="0"/>
              <w:marBottom w:val="180"/>
              <w:divBdr>
                <w:top w:val="none" w:sz="0" w:space="0" w:color="auto"/>
                <w:left w:val="none" w:sz="0" w:space="0" w:color="auto"/>
                <w:bottom w:val="none" w:sz="0" w:space="0" w:color="auto"/>
                <w:right w:val="none" w:sz="0" w:space="0" w:color="auto"/>
              </w:divBdr>
            </w:div>
            <w:div w:id="1567448726">
              <w:marLeft w:val="0"/>
              <w:marRight w:val="0"/>
              <w:marTop w:val="0"/>
              <w:marBottom w:val="120"/>
              <w:divBdr>
                <w:top w:val="none" w:sz="0" w:space="0" w:color="auto"/>
                <w:left w:val="none" w:sz="0" w:space="0" w:color="auto"/>
                <w:bottom w:val="none" w:sz="0" w:space="0" w:color="auto"/>
                <w:right w:val="none" w:sz="0" w:space="0" w:color="auto"/>
              </w:divBdr>
            </w:div>
            <w:div w:id="1238320449">
              <w:marLeft w:val="0"/>
              <w:marRight w:val="0"/>
              <w:marTop w:val="0"/>
              <w:marBottom w:val="0"/>
              <w:divBdr>
                <w:top w:val="none" w:sz="0" w:space="0" w:color="auto"/>
                <w:left w:val="none" w:sz="0" w:space="0" w:color="auto"/>
                <w:bottom w:val="none" w:sz="0" w:space="0" w:color="auto"/>
                <w:right w:val="none" w:sz="0" w:space="0" w:color="auto"/>
              </w:divBdr>
            </w:div>
          </w:divsChild>
        </w:div>
        <w:div w:id="407270327">
          <w:marLeft w:val="0"/>
          <w:marRight w:val="0"/>
          <w:marTop w:val="0"/>
          <w:marBottom w:val="720"/>
          <w:divBdr>
            <w:top w:val="none" w:sz="0" w:space="0" w:color="auto"/>
            <w:left w:val="none" w:sz="0" w:space="0" w:color="auto"/>
            <w:bottom w:val="none" w:sz="0" w:space="0" w:color="auto"/>
            <w:right w:val="none" w:sz="0" w:space="0" w:color="auto"/>
          </w:divBdr>
          <w:divsChild>
            <w:div w:id="720402965">
              <w:marLeft w:val="0"/>
              <w:marRight w:val="0"/>
              <w:marTop w:val="0"/>
              <w:marBottom w:val="0"/>
              <w:divBdr>
                <w:top w:val="none" w:sz="0" w:space="0" w:color="auto"/>
                <w:left w:val="none" w:sz="0" w:space="0" w:color="auto"/>
                <w:bottom w:val="none" w:sz="0" w:space="0" w:color="auto"/>
                <w:right w:val="none" w:sz="0" w:space="0" w:color="auto"/>
              </w:divBdr>
              <w:divsChild>
                <w:div w:id="1294141051">
                  <w:marLeft w:val="0"/>
                  <w:marRight w:val="0"/>
                  <w:marTop w:val="0"/>
                  <w:marBottom w:val="480"/>
                  <w:divBdr>
                    <w:top w:val="none" w:sz="0" w:space="0" w:color="auto"/>
                    <w:left w:val="none" w:sz="0" w:space="0" w:color="auto"/>
                    <w:bottom w:val="none" w:sz="0" w:space="0" w:color="auto"/>
                    <w:right w:val="none" w:sz="0" w:space="0" w:color="auto"/>
                  </w:divBdr>
                  <w:divsChild>
                    <w:div w:id="764837322">
                      <w:marLeft w:val="0"/>
                      <w:marRight w:val="0"/>
                      <w:marTop w:val="0"/>
                      <w:marBottom w:val="0"/>
                      <w:divBdr>
                        <w:top w:val="single" w:sz="12" w:space="0" w:color="981B1E"/>
                        <w:left w:val="none" w:sz="0" w:space="0" w:color="auto"/>
                        <w:bottom w:val="single" w:sz="6" w:space="0" w:color="000000"/>
                        <w:right w:val="none" w:sz="0" w:space="0" w:color="auto"/>
                      </w:divBdr>
                      <w:divsChild>
                        <w:div w:id="703557161">
                          <w:marLeft w:val="0"/>
                          <w:marRight w:val="0"/>
                          <w:marTop w:val="0"/>
                          <w:marBottom w:val="120"/>
                          <w:divBdr>
                            <w:top w:val="none" w:sz="0" w:space="0" w:color="auto"/>
                            <w:left w:val="none" w:sz="0" w:space="0" w:color="auto"/>
                            <w:bottom w:val="none" w:sz="0" w:space="0" w:color="auto"/>
                            <w:right w:val="none" w:sz="0" w:space="0" w:color="auto"/>
                          </w:divBdr>
                        </w:div>
                        <w:div w:id="1166631872">
                          <w:marLeft w:val="0"/>
                          <w:marRight w:val="0"/>
                          <w:marTop w:val="0"/>
                          <w:marBottom w:val="120"/>
                          <w:divBdr>
                            <w:top w:val="none" w:sz="0" w:space="0" w:color="auto"/>
                            <w:left w:val="none" w:sz="0" w:space="0" w:color="auto"/>
                            <w:bottom w:val="none" w:sz="0" w:space="0" w:color="auto"/>
                            <w:right w:val="none" w:sz="0" w:space="0" w:color="auto"/>
                          </w:divBdr>
                        </w:div>
                        <w:div w:id="1308317822">
                          <w:marLeft w:val="0"/>
                          <w:marRight w:val="0"/>
                          <w:marTop w:val="0"/>
                          <w:marBottom w:val="0"/>
                          <w:divBdr>
                            <w:top w:val="none" w:sz="0" w:space="0" w:color="auto"/>
                            <w:left w:val="none" w:sz="0" w:space="0" w:color="auto"/>
                            <w:bottom w:val="none" w:sz="0" w:space="0" w:color="auto"/>
                            <w:right w:val="none" w:sz="0" w:space="0" w:color="auto"/>
                          </w:divBdr>
                          <w:divsChild>
                            <w:div w:id="1639989848">
                              <w:marLeft w:val="60"/>
                              <w:marRight w:val="60"/>
                              <w:marTop w:val="0"/>
                              <w:marBottom w:val="180"/>
                              <w:divBdr>
                                <w:top w:val="none" w:sz="0" w:space="0" w:color="auto"/>
                                <w:left w:val="none" w:sz="0" w:space="0" w:color="auto"/>
                                <w:bottom w:val="none" w:sz="0" w:space="0" w:color="auto"/>
                                <w:right w:val="none" w:sz="0" w:space="0" w:color="auto"/>
                              </w:divBdr>
                            </w:div>
                          </w:divsChild>
                        </w:div>
                        <w:div w:id="158932001">
                          <w:marLeft w:val="0"/>
                          <w:marRight w:val="0"/>
                          <w:marTop w:val="0"/>
                          <w:marBottom w:val="0"/>
                          <w:divBdr>
                            <w:top w:val="none" w:sz="0" w:space="0" w:color="auto"/>
                            <w:left w:val="none" w:sz="0" w:space="0" w:color="auto"/>
                            <w:bottom w:val="none" w:sz="0" w:space="0" w:color="auto"/>
                            <w:right w:val="none" w:sz="0" w:space="0" w:color="auto"/>
                          </w:divBdr>
                        </w:div>
                      </w:divsChild>
                    </w:div>
                    <w:div w:id="2101900525">
                      <w:marLeft w:val="0"/>
                      <w:marRight w:val="0"/>
                      <w:marTop w:val="56"/>
                      <w:marBottom w:val="140"/>
                      <w:divBdr>
                        <w:top w:val="none" w:sz="0" w:space="0" w:color="auto"/>
                        <w:left w:val="none" w:sz="0" w:space="0" w:color="auto"/>
                        <w:bottom w:val="none" w:sz="0" w:space="0" w:color="auto"/>
                        <w:right w:val="none" w:sz="0" w:space="0" w:color="auto"/>
                      </w:divBdr>
                      <w:divsChild>
                        <w:div w:id="13414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476687">
      <w:bodyDiv w:val="1"/>
      <w:marLeft w:val="0"/>
      <w:marRight w:val="0"/>
      <w:marTop w:val="0"/>
      <w:marBottom w:val="0"/>
      <w:divBdr>
        <w:top w:val="none" w:sz="0" w:space="0" w:color="auto"/>
        <w:left w:val="none" w:sz="0" w:space="0" w:color="auto"/>
        <w:bottom w:val="none" w:sz="0" w:space="0" w:color="auto"/>
        <w:right w:val="none" w:sz="0" w:space="0" w:color="auto"/>
      </w:divBdr>
      <w:divsChild>
        <w:div w:id="518158291">
          <w:marLeft w:val="0"/>
          <w:marRight w:val="0"/>
          <w:marTop w:val="0"/>
          <w:marBottom w:val="480"/>
          <w:divBdr>
            <w:top w:val="none" w:sz="0" w:space="0" w:color="auto"/>
            <w:left w:val="none" w:sz="0" w:space="0" w:color="auto"/>
            <w:bottom w:val="none" w:sz="0" w:space="0" w:color="auto"/>
            <w:right w:val="none" w:sz="0" w:space="0" w:color="auto"/>
          </w:divBdr>
          <w:divsChild>
            <w:div w:id="680161299">
              <w:marLeft w:val="0"/>
              <w:marRight w:val="0"/>
              <w:marTop w:val="0"/>
              <w:marBottom w:val="120"/>
              <w:divBdr>
                <w:top w:val="none" w:sz="0" w:space="0" w:color="auto"/>
                <w:left w:val="none" w:sz="0" w:space="0" w:color="auto"/>
                <w:bottom w:val="none" w:sz="0" w:space="0" w:color="auto"/>
                <w:right w:val="none" w:sz="0" w:space="0" w:color="auto"/>
              </w:divBdr>
              <w:divsChild>
                <w:div w:id="2087610276">
                  <w:marLeft w:val="0"/>
                  <w:marRight w:val="0"/>
                  <w:marTop w:val="0"/>
                  <w:marBottom w:val="72"/>
                  <w:divBdr>
                    <w:top w:val="none" w:sz="0" w:space="0" w:color="auto"/>
                    <w:left w:val="none" w:sz="0" w:space="0" w:color="auto"/>
                    <w:bottom w:val="none" w:sz="0" w:space="0" w:color="auto"/>
                    <w:right w:val="none" w:sz="0" w:space="0" w:color="auto"/>
                  </w:divBdr>
                </w:div>
              </w:divsChild>
            </w:div>
            <w:div w:id="666830801">
              <w:marLeft w:val="0"/>
              <w:marRight w:val="0"/>
              <w:marTop w:val="0"/>
              <w:marBottom w:val="48"/>
              <w:divBdr>
                <w:top w:val="none" w:sz="0" w:space="0" w:color="auto"/>
                <w:left w:val="none" w:sz="0" w:space="0" w:color="auto"/>
                <w:bottom w:val="none" w:sz="0" w:space="0" w:color="auto"/>
                <w:right w:val="none" w:sz="0" w:space="0" w:color="auto"/>
              </w:divBdr>
            </w:div>
            <w:div w:id="1932352907">
              <w:marLeft w:val="0"/>
              <w:marRight w:val="0"/>
              <w:marTop w:val="0"/>
              <w:marBottom w:val="0"/>
              <w:divBdr>
                <w:top w:val="none" w:sz="0" w:space="0" w:color="auto"/>
                <w:left w:val="none" w:sz="0" w:space="0" w:color="auto"/>
                <w:bottom w:val="none" w:sz="0" w:space="0" w:color="auto"/>
                <w:right w:val="none" w:sz="0" w:space="0" w:color="auto"/>
              </w:divBdr>
            </w:div>
            <w:div w:id="939140402">
              <w:marLeft w:val="0"/>
              <w:marRight w:val="0"/>
              <w:marTop w:val="0"/>
              <w:marBottom w:val="180"/>
              <w:divBdr>
                <w:top w:val="none" w:sz="0" w:space="0" w:color="auto"/>
                <w:left w:val="none" w:sz="0" w:space="0" w:color="auto"/>
                <w:bottom w:val="none" w:sz="0" w:space="0" w:color="auto"/>
                <w:right w:val="none" w:sz="0" w:space="0" w:color="auto"/>
              </w:divBdr>
            </w:div>
            <w:div w:id="180247086">
              <w:marLeft w:val="0"/>
              <w:marRight w:val="0"/>
              <w:marTop w:val="0"/>
              <w:marBottom w:val="120"/>
              <w:divBdr>
                <w:top w:val="none" w:sz="0" w:space="0" w:color="auto"/>
                <w:left w:val="none" w:sz="0" w:space="0" w:color="auto"/>
                <w:bottom w:val="none" w:sz="0" w:space="0" w:color="auto"/>
                <w:right w:val="none" w:sz="0" w:space="0" w:color="auto"/>
              </w:divBdr>
            </w:div>
            <w:div w:id="982270835">
              <w:marLeft w:val="0"/>
              <w:marRight w:val="0"/>
              <w:marTop w:val="0"/>
              <w:marBottom w:val="0"/>
              <w:divBdr>
                <w:top w:val="none" w:sz="0" w:space="0" w:color="auto"/>
                <w:left w:val="none" w:sz="0" w:space="0" w:color="auto"/>
                <w:bottom w:val="none" w:sz="0" w:space="0" w:color="auto"/>
                <w:right w:val="none" w:sz="0" w:space="0" w:color="auto"/>
              </w:divBdr>
            </w:div>
          </w:divsChild>
        </w:div>
        <w:div w:id="396636447">
          <w:marLeft w:val="0"/>
          <w:marRight w:val="0"/>
          <w:marTop w:val="0"/>
          <w:marBottom w:val="0"/>
          <w:divBdr>
            <w:top w:val="none" w:sz="0" w:space="0" w:color="auto"/>
            <w:left w:val="none" w:sz="0" w:space="0" w:color="auto"/>
            <w:bottom w:val="none" w:sz="0" w:space="0" w:color="auto"/>
            <w:right w:val="none" w:sz="0" w:space="0" w:color="auto"/>
          </w:divBdr>
        </w:div>
        <w:div w:id="1358502813">
          <w:marLeft w:val="0"/>
          <w:marRight w:val="0"/>
          <w:marTop w:val="0"/>
          <w:marBottom w:val="720"/>
          <w:divBdr>
            <w:top w:val="none" w:sz="0" w:space="0" w:color="auto"/>
            <w:left w:val="none" w:sz="0" w:space="0" w:color="auto"/>
            <w:bottom w:val="none" w:sz="0" w:space="0" w:color="auto"/>
            <w:right w:val="none" w:sz="0" w:space="0" w:color="auto"/>
          </w:divBdr>
          <w:divsChild>
            <w:div w:id="558590338">
              <w:marLeft w:val="0"/>
              <w:marRight w:val="0"/>
              <w:marTop w:val="0"/>
              <w:marBottom w:val="0"/>
              <w:divBdr>
                <w:top w:val="none" w:sz="0" w:space="0" w:color="auto"/>
                <w:left w:val="none" w:sz="0" w:space="0" w:color="auto"/>
                <w:bottom w:val="none" w:sz="0" w:space="0" w:color="auto"/>
                <w:right w:val="none" w:sz="0" w:space="0" w:color="auto"/>
              </w:divBdr>
              <w:divsChild>
                <w:div w:id="2453851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manetwork.com/searchresults?author=Clifford+C.+Sheckter&amp;q=Clifford+C.+Sheckter" TargetMode="External"/><Relationship Id="rId18" Type="http://schemas.openxmlformats.org/officeDocument/2006/relationships/hyperlink" Target="https://jamanetwork.com/journals/jamaneurology/fullarticle/2624330" TargetMode="External"/><Relationship Id="rId26" Type="http://schemas.openxmlformats.org/officeDocument/2006/relationships/hyperlink" Target="https://jamanetwork.com/journals/jamaneurology/fullarticle/2624330" TargetMode="External"/><Relationship Id="rId3" Type="http://schemas.openxmlformats.org/officeDocument/2006/relationships/settings" Target="settings.xml"/><Relationship Id="rId21" Type="http://schemas.openxmlformats.org/officeDocument/2006/relationships/hyperlink" Target="https://jamanetwork.com/journals/jamaneurology/fullarticle/2624330" TargetMode="External"/><Relationship Id="rId34" Type="http://schemas.openxmlformats.org/officeDocument/2006/relationships/hyperlink" Target="http://jamanetwork.com/article.aspx?doi=10.1001/jamaneurol.2017.0403" TargetMode="External"/><Relationship Id="rId7" Type="http://schemas.openxmlformats.org/officeDocument/2006/relationships/hyperlink" Target="https://jamanetwork.com/searchresults?author=Arnold+S.+Milstein&amp;q=Arnold+S.+Milstein" TargetMode="External"/><Relationship Id="rId12" Type="http://schemas.openxmlformats.org/officeDocument/2006/relationships/hyperlink" Target="https://jamanetwork.com/searchresults?author=Nicholas+T.+Bott&amp;q=Nicholas+T.+Bott" TargetMode="External"/><Relationship Id="rId17" Type="http://schemas.openxmlformats.org/officeDocument/2006/relationships/hyperlink" Target="https://jamanetwork.com/journals/jamaneurology/fullarticle/2624330" TargetMode="External"/><Relationship Id="rId25" Type="http://schemas.openxmlformats.org/officeDocument/2006/relationships/image" Target="media/image1.png"/><Relationship Id="rId33" Type="http://schemas.openxmlformats.org/officeDocument/2006/relationships/hyperlink" Target="mailto:nbott@stanford.edu" TargetMode="External"/><Relationship Id="rId2" Type="http://schemas.openxmlformats.org/officeDocument/2006/relationships/styles" Target="styles.xml"/><Relationship Id="rId16" Type="http://schemas.openxmlformats.org/officeDocument/2006/relationships/hyperlink" Target="https://jamanetwork.com/journals/jamaneurology/fullarticle/2624330" TargetMode="External"/><Relationship Id="rId20" Type="http://schemas.openxmlformats.org/officeDocument/2006/relationships/hyperlink" Target="https://jamanetwork.com/journals/jamaneurology/fullarticle/2624330" TargetMode="External"/><Relationship Id="rId29" Type="http://schemas.openxmlformats.org/officeDocument/2006/relationships/hyperlink" Target="https://jamanetwork.com/journals/jamaneurology/fullarticle/2624330" TargetMode="External"/><Relationship Id="rId1" Type="http://schemas.openxmlformats.org/officeDocument/2006/relationships/numbering" Target="numbering.xml"/><Relationship Id="rId6" Type="http://schemas.openxmlformats.org/officeDocument/2006/relationships/hyperlink" Target="https://jamanetwork.com/searchresults?author=Clifford+C.+Sheckter&amp;q=Clifford+C.+Sheckter" TargetMode="External"/><Relationship Id="rId11" Type="http://schemas.openxmlformats.org/officeDocument/2006/relationships/hyperlink" Target="https://jamanetwork.com/journals/jamaneurology/fullarticle/2624330" TargetMode="External"/><Relationship Id="rId24" Type="http://schemas.openxmlformats.org/officeDocument/2006/relationships/hyperlink" Target="https://jamanetwork.com/downloadimage.aspx?image=https://cdn.jamanetwork.com/ama/content_public/journal/neur/936363/nvp170005f1.png?Expires=1698370755&amp;Signature=Gak-UFJixTJCRjXUuUqJaqGjxGIFnZaU0oWgyYI7Go-WaQL8SWFmvqcQSRatELmZ2oTrJKa5UohZ~EbesSqiXFvfq7GsuyRUoFHVjjPXWGLf98yheuvj3JH6pPkDj~kY9rlO4-RGJL6mfCaiATZ5Bt7qQCcCZ7geSqXIFxBRydX06z9Ro9ZMV32U-UcBGRcU7nmdV3ZlSADyDQo46cAcPCzCKF1w~DFji-17R1I0OQeZlNc8YL8I25gTKtMGH3CJ3IyWFbU0l8rQ6kzi5nIgfq~c5XjrwQuaY3KQpUHEBSpLShSIuGhlblJVFaU2wvbmL5FKeLCEhwu9BLRtqk0VSQ__&amp;Key-Pair-Id=APKAIE5G5CRDK6RD3PGA&amp;sec=165199383&amp;ar=2624330&amp;imagename=&amp;siteId=16" TargetMode="External"/><Relationship Id="rId32" Type="http://schemas.openxmlformats.org/officeDocument/2006/relationships/hyperlink" Target="https://jamanetwork.com/journals/jamaneurology/fullarticle/2624330" TargetMode="External"/><Relationship Id="rId5" Type="http://schemas.openxmlformats.org/officeDocument/2006/relationships/hyperlink" Target="https://jamanetwork.com/searchresults?author=Nicholas+T.+Bott&amp;q=Nicholas+T.+Bott" TargetMode="External"/><Relationship Id="rId15" Type="http://schemas.openxmlformats.org/officeDocument/2006/relationships/hyperlink" Target="https://jamanetwork.com/journals/jamaneurology/fullarticle/2624330" TargetMode="External"/><Relationship Id="rId23" Type="http://schemas.openxmlformats.org/officeDocument/2006/relationships/hyperlink" Target="https://cdn.jamanetwork.com/ama/content_public/journal/neur/936363/nvp170005f1.png?Expires=1698370755&amp;Signature=Gak-UFJixTJCRjXUuUqJaqGjxGIFnZaU0oWgyYI7Go-WaQL8SWFmvqcQSRatELmZ2oTrJKa5UohZ~EbesSqiXFvfq7GsuyRUoFHVjjPXWGLf98yheuvj3JH6pPkDj~kY9rlO4-RGJL6mfCaiATZ5Bt7qQCcCZ7geSqXIFxBRydX06z9Ro9ZMV32U-UcBGRcU7nmdV3ZlSADyDQo46cAcPCzCKF1w~DFji-17R1I0OQeZlNc8YL8I25gTKtMGH3CJ3IyWFbU0l8rQ6kzi5nIgfq~c5XjrwQuaY3KQpUHEBSpLShSIuGhlblJVFaU2wvbmL5FKeLCEhwu9BLRtqk0VSQ__&amp;Key-Pair-Id=APKAIE5G5CRDK6RD3PGA" TargetMode="External"/><Relationship Id="rId28" Type="http://schemas.openxmlformats.org/officeDocument/2006/relationships/hyperlink" Target="https://jamanetwork.com/journals/jamaneurology/fullarticle/2624330" TargetMode="External"/><Relationship Id="rId36" Type="http://schemas.openxmlformats.org/officeDocument/2006/relationships/theme" Target="theme/theme1.xml"/><Relationship Id="rId10" Type="http://schemas.openxmlformats.org/officeDocument/2006/relationships/hyperlink" Target="https://jamanetwork.com/journals/jamaneurology/article-abstract/2624330?redirect=true" TargetMode="External"/><Relationship Id="rId19" Type="http://schemas.openxmlformats.org/officeDocument/2006/relationships/hyperlink" Target="https://jamanetwork.com/journals/jamaneurology/fullarticle/2624330" TargetMode="External"/><Relationship Id="rId31" Type="http://schemas.openxmlformats.org/officeDocument/2006/relationships/hyperlink" Target="https://jamanetwork.com/journals/jamaneurology/fullarticle/2624330" TargetMode="External"/><Relationship Id="rId4" Type="http://schemas.openxmlformats.org/officeDocument/2006/relationships/webSettings" Target="webSettings.xml"/><Relationship Id="rId9" Type="http://schemas.openxmlformats.org/officeDocument/2006/relationships/hyperlink" Target="https://jamanetwork.com/journals/jamaneurology/article-abstract/2624330?redirect=true" TargetMode="External"/><Relationship Id="rId14" Type="http://schemas.openxmlformats.org/officeDocument/2006/relationships/hyperlink" Target="https://jamanetwork.com/searchresults?author=Arnold+S.+Milstein&amp;q=Arnold+S.+Milstein" TargetMode="External"/><Relationship Id="rId22" Type="http://schemas.openxmlformats.org/officeDocument/2006/relationships/hyperlink" Target="https://jamanetwork.com/journals/jamaneurology/fullarticle/2624330" TargetMode="External"/><Relationship Id="rId27" Type="http://schemas.openxmlformats.org/officeDocument/2006/relationships/hyperlink" Target="https://jamanetwork.com/journals/jamaneurology/fullarticle/2624330" TargetMode="External"/><Relationship Id="rId30" Type="http://schemas.openxmlformats.org/officeDocument/2006/relationships/hyperlink" Target="https://jamanetwork.com/journals/jamaneurology/fullarticle/2624330" TargetMode="External"/><Relationship Id="rId35" Type="http://schemas.openxmlformats.org/officeDocument/2006/relationships/fontTable" Target="fontTable.xml"/><Relationship Id="rId8" Type="http://schemas.openxmlformats.org/officeDocument/2006/relationships/hyperlink" Target="https://jamanetwork.com/journals/jamaneurology/article-abstract/2624330?redire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ino</dc:creator>
  <cp:keywords/>
  <dc:description/>
  <cp:lastModifiedBy>john ino</cp:lastModifiedBy>
  <cp:revision>7</cp:revision>
  <cp:lastPrinted>2023-09-22T23:08:00Z</cp:lastPrinted>
  <dcterms:created xsi:type="dcterms:W3CDTF">2023-09-22T22:57:00Z</dcterms:created>
  <dcterms:modified xsi:type="dcterms:W3CDTF">2023-09-23T03:48:00Z</dcterms:modified>
</cp:coreProperties>
</file>